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D6D747E"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r w:rsidR="003056A7">
        <w:rPr>
          <w:b/>
          <w:color w:val="FF0000"/>
          <w:sz w:val="20"/>
          <w:szCs w:val="20"/>
        </w:rPr>
        <w:t xml:space="preserve"> </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241"/>
        <w:gridCol w:w="155"/>
        <w:gridCol w:w="2501"/>
        <w:gridCol w:w="522"/>
        <w:gridCol w:w="2438"/>
        <w:gridCol w:w="15"/>
        <w:gridCol w:w="2686"/>
        <w:gridCol w:w="222"/>
      </w:tblGrid>
      <w:tr w:rsidR="00345149" w:rsidRPr="00C710E0" w14:paraId="11EC5F63" w14:textId="77777777" w:rsidTr="00923F91">
        <w:trPr>
          <w:cantSplit/>
        </w:trPr>
        <w:tc>
          <w:tcPr>
            <w:tcW w:w="1039"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858" w:type="pct"/>
            <w:gridSpan w:val="6"/>
          </w:tcPr>
          <w:p w14:paraId="3DD8DB7A" w14:textId="2720A71D" w:rsidR="00F64260" w:rsidRPr="00C710E0" w:rsidRDefault="00F16868" w:rsidP="00B862BF">
            <w:pPr>
              <w:pStyle w:val="Heading5"/>
              <w:rPr>
                <w:b/>
              </w:rPr>
            </w:pPr>
            <w:bookmarkStart w:id="1" w:name="Proposal"/>
            <w:bookmarkEnd w:id="1"/>
            <w:r>
              <w:rPr>
                <w:b/>
              </w:rPr>
              <w:t>FIN 464 Fundamentals for CFA Level 1 Exam</w:t>
            </w:r>
          </w:p>
        </w:tc>
        <w:tc>
          <w:tcPr>
            <w:tcW w:w="103"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00923F91">
        <w:trPr>
          <w:cantSplit/>
        </w:trPr>
        <w:tc>
          <w:tcPr>
            <w:tcW w:w="1039"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858" w:type="pct"/>
            <w:gridSpan w:val="6"/>
          </w:tcPr>
          <w:p w14:paraId="02CBDE98" w14:textId="77777777" w:rsidR="00F64260" w:rsidRPr="00C710E0" w:rsidRDefault="00F64260" w:rsidP="00B862BF">
            <w:pPr>
              <w:pStyle w:val="Heading5"/>
              <w:rPr>
                <w:b/>
              </w:rPr>
            </w:pPr>
            <w:bookmarkStart w:id="4" w:name="Ifapplicable"/>
            <w:bookmarkEnd w:id="4"/>
          </w:p>
        </w:tc>
        <w:tc>
          <w:tcPr>
            <w:tcW w:w="103" w:type="pct"/>
            <w:vMerge/>
          </w:tcPr>
          <w:p w14:paraId="62271F1F" w14:textId="77777777" w:rsidR="00F64260" w:rsidRPr="00C710E0" w:rsidRDefault="00F64260" w:rsidP="008B1F84">
            <w:pPr>
              <w:rPr>
                <w:b/>
              </w:rPr>
            </w:pPr>
          </w:p>
        </w:tc>
      </w:tr>
      <w:tr w:rsidR="00AD3FAB" w:rsidRPr="00C710E0" w14:paraId="224A05DA" w14:textId="77777777" w:rsidTr="000F532D">
        <w:trPr>
          <w:gridAfter w:val="4"/>
          <w:wAfter w:w="2487" w:type="pct"/>
          <w:cantSplit/>
        </w:trPr>
        <w:tc>
          <w:tcPr>
            <w:tcW w:w="1039" w:type="pct"/>
            <w:vAlign w:val="center"/>
          </w:tcPr>
          <w:p w14:paraId="1D4C4FE7" w14:textId="741AF666" w:rsidR="00AD3FAB" w:rsidRPr="00C710E0" w:rsidRDefault="00AD3FAB" w:rsidP="006E365C">
            <w:pPr>
              <w:spacing w:line="240" w:lineRule="auto"/>
            </w:pPr>
            <w:r w:rsidRPr="00C710E0">
              <w:t>A. 1b. Academic unit</w:t>
            </w:r>
          </w:p>
          <w:p w14:paraId="13D93270" w14:textId="40260289" w:rsidR="00AD3FAB" w:rsidRPr="00C710E0" w:rsidRDefault="00AD3FAB" w:rsidP="006E365C">
            <w:pPr>
              <w:rPr>
                <w:rStyle w:val="Hyperlink"/>
              </w:rPr>
            </w:pPr>
          </w:p>
        </w:tc>
        <w:tc>
          <w:tcPr>
            <w:tcW w:w="1474" w:type="pct"/>
            <w:gridSpan w:val="3"/>
          </w:tcPr>
          <w:p w14:paraId="12A36AEF" w14:textId="5A7634D7" w:rsidR="00AD3FAB" w:rsidRPr="00C710E0" w:rsidRDefault="00DB16A2" w:rsidP="000E4E94">
            <w:pPr>
              <w:rPr>
                <w:b/>
              </w:rPr>
            </w:pPr>
            <w:r>
              <w:rPr>
                <w:b/>
              </w:rPr>
              <w:t xml:space="preserve">School of </w:t>
            </w:r>
            <w:r w:rsidR="006B0E6E">
              <w:rPr>
                <w:b/>
              </w:rPr>
              <w:t>Business</w:t>
            </w:r>
          </w:p>
        </w:tc>
      </w:tr>
      <w:tr w:rsidR="00345149" w:rsidRPr="00C710E0" w14:paraId="3ADE5CAB" w14:textId="77777777" w:rsidTr="00923F91">
        <w:trPr>
          <w:cantSplit/>
        </w:trPr>
        <w:tc>
          <w:tcPr>
            <w:tcW w:w="1039"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858" w:type="pct"/>
            <w:gridSpan w:val="6"/>
          </w:tcPr>
          <w:p w14:paraId="5B61D31D" w14:textId="66AB40AF" w:rsidR="00705367" w:rsidRPr="00C710E0" w:rsidRDefault="00F64260" w:rsidP="00705367">
            <w:pPr>
              <w:rPr>
                <w:b/>
              </w:rPr>
            </w:pPr>
            <w:bookmarkStart w:id="5" w:name="type"/>
            <w:r w:rsidRPr="00C710E0">
              <w:rPr>
                <w:b/>
              </w:rPr>
              <w:t>Course:  creation</w:t>
            </w:r>
            <w:bookmarkEnd w:id="5"/>
            <w:r w:rsidRPr="00C710E0">
              <w:rPr>
                <w:b/>
              </w:rPr>
              <w:t xml:space="preserve"> </w:t>
            </w:r>
          </w:p>
          <w:p w14:paraId="52ECEFB4" w14:textId="06A60824" w:rsidR="00F64260" w:rsidRPr="00C710E0" w:rsidRDefault="00F64260" w:rsidP="000A36CD">
            <w:pPr>
              <w:rPr>
                <w:b/>
              </w:rPr>
            </w:pPr>
          </w:p>
        </w:tc>
        <w:tc>
          <w:tcPr>
            <w:tcW w:w="103" w:type="pct"/>
          </w:tcPr>
          <w:p w14:paraId="66B4A301" w14:textId="77777777" w:rsidR="00F64260" w:rsidRPr="00C710E0" w:rsidRDefault="00F64260" w:rsidP="008B1F84">
            <w:pPr>
              <w:rPr>
                <w:b/>
              </w:rPr>
            </w:pPr>
          </w:p>
        </w:tc>
      </w:tr>
      <w:tr w:rsidR="00F64260" w:rsidRPr="00C710E0" w14:paraId="1CF85742" w14:textId="77777777" w:rsidTr="00923F91">
        <w:trPr>
          <w:cantSplit/>
        </w:trPr>
        <w:tc>
          <w:tcPr>
            <w:tcW w:w="1039"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474" w:type="pct"/>
            <w:gridSpan w:val="3"/>
          </w:tcPr>
          <w:p w14:paraId="32621A09" w14:textId="215FA4D5" w:rsidR="00F64260" w:rsidRPr="00C710E0" w:rsidRDefault="00705367" w:rsidP="00B862BF">
            <w:pPr>
              <w:rPr>
                <w:b/>
              </w:rPr>
            </w:pPr>
            <w:bookmarkStart w:id="6" w:name="Originator"/>
            <w:bookmarkEnd w:id="6"/>
            <w:r>
              <w:rPr>
                <w:b/>
              </w:rPr>
              <w:t>Abbas A. Kazemi</w:t>
            </w:r>
          </w:p>
        </w:tc>
        <w:tc>
          <w:tcPr>
            <w:tcW w:w="1138" w:type="pct"/>
            <w:gridSpan w:val="2"/>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349" w:type="pct"/>
            <w:gridSpan w:val="2"/>
          </w:tcPr>
          <w:p w14:paraId="6A9CD084" w14:textId="6380F429" w:rsidR="00F64260" w:rsidRPr="00C710E0" w:rsidRDefault="008B5D50" w:rsidP="00B862BF">
            <w:pPr>
              <w:rPr>
                <w:b/>
              </w:rPr>
            </w:pPr>
            <w:bookmarkStart w:id="7" w:name="home_dept"/>
            <w:bookmarkEnd w:id="7"/>
            <w:r>
              <w:rPr>
                <w:b/>
              </w:rPr>
              <w:t>Economics and Finance</w:t>
            </w:r>
          </w:p>
        </w:tc>
      </w:tr>
      <w:tr w:rsidR="00F64260" w:rsidRPr="00C710E0" w14:paraId="2EB2F82D" w14:textId="77777777" w:rsidTr="00923F91">
        <w:tc>
          <w:tcPr>
            <w:tcW w:w="1039"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961" w:type="pct"/>
            <w:gridSpan w:val="7"/>
          </w:tcPr>
          <w:p w14:paraId="1EC9A2CF" w14:textId="7E8A6964" w:rsidR="000C702B" w:rsidRDefault="00BD620D" w:rsidP="00FA6998">
            <w:pPr>
              <w:rPr>
                <w:color w:val="000000"/>
                <w:sz w:val="27"/>
                <w:szCs w:val="27"/>
              </w:rPr>
            </w:pPr>
            <w:bookmarkStart w:id="8" w:name="Rationale"/>
            <w:bookmarkEnd w:id="8"/>
            <w:r>
              <w:rPr>
                <w:color w:val="000000"/>
                <w:sz w:val="27"/>
                <w:szCs w:val="27"/>
              </w:rPr>
              <w:t>This proposal requests the creation of a new course, Finance 464</w:t>
            </w:r>
            <w:r w:rsidR="00654931">
              <w:rPr>
                <w:color w:val="000000"/>
                <w:sz w:val="27"/>
                <w:szCs w:val="27"/>
              </w:rPr>
              <w:t xml:space="preserve"> Fundamentals for CFA Level 1 Exam</w:t>
            </w:r>
            <w:r w:rsidR="004A623D">
              <w:rPr>
                <w:color w:val="000000"/>
                <w:sz w:val="27"/>
                <w:szCs w:val="27"/>
              </w:rPr>
              <w:t>, as a 4-credit restrictive elective course for finance major</w:t>
            </w:r>
            <w:r w:rsidR="00904378">
              <w:rPr>
                <w:color w:val="000000"/>
                <w:sz w:val="27"/>
                <w:szCs w:val="27"/>
              </w:rPr>
              <w:t>s, starting in Fall 2024</w:t>
            </w:r>
            <w:r w:rsidR="00F474E9">
              <w:rPr>
                <w:color w:val="000000"/>
                <w:sz w:val="27"/>
                <w:szCs w:val="27"/>
              </w:rPr>
              <w:t xml:space="preserve">. </w:t>
            </w:r>
            <w:r w:rsidR="007D65B3">
              <w:rPr>
                <w:color w:val="000000"/>
                <w:sz w:val="27"/>
                <w:szCs w:val="27"/>
              </w:rPr>
              <w:t>The course previously ran as FIN 450 Special Topics in Fall of 2023</w:t>
            </w:r>
            <w:r w:rsidR="00162418">
              <w:rPr>
                <w:color w:val="000000"/>
                <w:sz w:val="27"/>
                <w:szCs w:val="27"/>
              </w:rPr>
              <w:t xml:space="preserve"> and Spring 2024</w:t>
            </w:r>
            <w:r w:rsidR="007D65B3">
              <w:rPr>
                <w:color w:val="000000"/>
                <w:sz w:val="27"/>
                <w:szCs w:val="27"/>
              </w:rPr>
              <w:t xml:space="preserve"> with a positive enrollment and feedback from the students. It is also scheduled to be offered in the Fall of 2024.</w:t>
            </w:r>
          </w:p>
          <w:p w14:paraId="112B4C86" w14:textId="77777777" w:rsidR="00F474E9" w:rsidRDefault="00F474E9" w:rsidP="00FA6998">
            <w:pPr>
              <w:rPr>
                <w:color w:val="000000"/>
                <w:sz w:val="27"/>
                <w:szCs w:val="27"/>
              </w:rPr>
            </w:pPr>
          </w:p>
          <w:p w14:paraId="7830D66F" w14:textId="5D78F13D" w:rsidR="00F474E9" w:rsidRDefault="00224C17" w:rsidP="00FA6998">
            <w:pPr>
              <w:rPr>
                <w:color w:val="000000"/>
                <w:sz w:val="27"/>
                <w:szCs w:val="27"/>
              </w:rPr>
            </w:pPr>
            <w:r>
              <w:rPr>
                <w:color w:val="000000"/>
                <w:sz w:val="27"/>
                <w:szCs w:val="27"/>
              </w:rPr>
              <w:t xml:space="preserve">CFA designation </w:t>
            </w:r>
            <w:r w:rsidR="00D77733">
              <w:rPr>
                <w:color w:val="000000"/>
                <w:sz w:val="27"/>
                <w:szCs w:val="27"/>
              </w:rPr>
              <w:t xml:space="preserve">has </w:t>
            </w:r>
            <w:r w:rsidR="009D2451">
              <w:rPr>
                <w:color w:val="000000"/>
                <w:sz w:val="27"/>
                <w:szCs w:val="27"/>
              </w:rPr>
              <w:t>been</w:t>
            </w:r>
            <w:r w:rsidR="00D77733">
              <w:rPr>
                <w:color w:val="000000"/>
                <w:sz w:val="27"/>
                <w:szCs w:val="27"/>
              </w:rPr>
              <w:t xml:space="preserve"> the </w:t>
            </w:r>
            <w:r w:rsidR="001F1F14">
              <w:rPr>
                <w:color w:val="000000"/>
                <w:sz w:val="27"/>
                <w:szCs w:val="27"/>
              </w:rPr>
              <w:t xml:space="preserve">“gold standard” </w:t>
            </w:r>
            <w:r w:rsidR="009D2451">
              <w:rPr>
                <w:color w:val="000000"/>
                <w:sz w:val="27"/>
                <w:szCs w:val="27"/>
              </w:rPr>
              <w:t xml:space="preserve">certification for the finance industry </w:t>
            </w:r>
            <w:r w:rsidR="00042C14">
              <w:rPr>
                <w:color w:val="000000"/>
                <w:sz w:val="27"/>
                <w:szCs w:val="27"/>
              </w:rPr>
              <w:t xml:space="preserve">for many years.  To achieve </w:t>
            </w:r>
            <w:r w:rsidR="00385DFF">
              <w:rPr>
                <w:color w:val="000000"/>
                <w:sz w:val="27"/>
                <w:szCs w:val="27"/>
              </w:rPr>
              <w:t xml:space="preserve">the designation, candidates </w:t>
            </w:r>
            <w:r w:rsidR="00610AED">
              <w:rPr>
                <w:color w:val="000000"/>
                <w:sz w:val="27"/>
                <w:szCs w:val="27"/>
              </w:rPr>
              <w:t>must</w:t>
            </w:r>
            <w:r w:rsidR="00385DFF">
              <w:rPr>
                <w:color w:val="000000"/>
                <w:sz w:val="27"/>
                <w:szCs w:val="27"/>
              </w:rPr>
              <w:t xml:space="preserve"> pass 3 ri</w:t>
            </w:r>
            <w:r w:rsidR="00C63923">
              <w:rPr>
                <w:color w:val="000000"/>
                <w:sz w:val="27"/>
                <w:szCs w:val="27"/>
              </w:rPr>
              <w:t xml:space="preserve">gorous exams in addition to having three years of relevant industry experience.  </w:t>
            </w:r>
            <w:r w:rsidR="00F474E9">
              <w:rPr>
                <w:color w:val="000000"/>
                <w:sz w:val="27"/>
                <w:szCs w:val="27"/>
              </w:rPr>
              <w:t xml:space="preserve">As an affiliated university with </w:t>
            </w:r>
            <w:r>
              <w:rPr>
                <w:color w:val="000000"/>
                <w:sz w:val="27"/>
                <w:szCs w:val="27"/>
              </w:rPr>
              <w:t>the CFA In</w:t>
            </w:r>
            <w:r w:rsidR="00042C14">
              <w:rPr>
                <w:color w:val="000000"/>
                <w:sz w:val="27"/>
                <w:szCs w:val="27"/>
              </w:rPr>
              <w:t xml:space="preserve">stitute that </w:t>
            </w:r>
            <w:r w:rsidR="000A564E">
              <w:rPr>
                <w:color w:val="000000"/>
                <w:sz w:val="27"/>
                <w:szCs w:val="27"/>
              </w:rPr>
              <w:t>administrates</w:t>
            </w:r>
            <w:r w:rsidR="00610AED">
              <w:rPr>
                <w:color w:val="000000"/>
                <w:sz w:val="27"/>
                <w:szCs w:val="27"/>
              </w:rPr>
              <w:t xml:space="preserve"> the CFA Program, </w:t>
            </w:r>
            <w:r w:rsidR="000410EB">
              <w:rPr>
                <w:color w:val="000000"/>
                <w:sz w:val="27"/>
                <w:szCs w:val="27"/>
              </w:rPr>
              <w:t xml:space="preserve">we </w:t>
            </w:r>
            <w:r w:rsidR="00E948CE">
              <w:rPr>
                <w:color w:val="000000"/>
                <w:sz w:val="27"/>
                <w:szCs w:val="27"/>
              </w:rPr>
              <w:t>can</w:t>
            </w:r>
            <w:r w:rsidR="000410EB">
              <w:rPr>
                <w:color w:val="000000"/>
                <w:sz w:val="27"/>
                <w:szCs w:val="27"/>
              </w:rPr>
              <w:t xml:space="preserve"> offer a preparatory course </w:t>
            </w:r>
            <w:r w:rsidR="00FB6153">
              <w:rPr>
                <w:color w:val="000000"/>
                <w:sz w:val="27"/>
                <w:szCs w:val="27"/>
              </w:rPr>
              <w:t xml:space="preserve">to help our majors better prepare for the CFA Level </w:t>
            </w:r>
            <w:r w:rsidR="00827B7C">
              <w:rPr>
                <w:color w:val="000000"/>
                <w:sz w:val="27"/>
                <w:szCs w:val="27"/>
              </w:rPr>
              <w:t xml:space="preserve">1 Exam and have a comparative advantage in the </w:t>
            </w:r>
            <w:r w:rsidR="00544541">
              <w:rPr>
                <w:color w:val="000000"/>
                <w:sz w:val="27"/>
                <w:szCs w:val="27"/>
              </w:rPr>
              <w:t xml:space="preserve">job market after graduation. In addition, with over 15 CFA Institute </w:t>
            </w:r>
            <w:r w:rsidR="00EB017E">
              <w:rPr>
                <w:color w:val="000000"/>
                <w:sz w:val="27"/>
                <w:szCs w:val="27"/>
              </w:rPr>
              <w:t xml:space="preserve">student scholarships, we can </w:t>
            </w:r>
            <w:r w:rsidR="00484D37">
              <w:rPr>
                <w:color w:val="000000"/>
                <w:sz w:val="27"/>
                <w:szCs w:val="27"/>
              </w:rPr>
              <w:t>reduce</w:t>
            </w:r>
            <w:r w:rsidR="00EB017E">
              <w:rPr>
                <w:color w:val="000000"/>
                <w:sz w:val="27"/>
                <w:szCs w:val="27"/>
              </w:rPr>
              <w:t xml:space="preserve"> the cost of </w:t>
            </w:r>
            <w:r w:rsidR="007B03D2">
              <w:rPr>
                <w:color w:val="000000"/>
                <w:sz w:val="27"/>
                <w:szCs w:val="27"/>
              </w:rPr>
              <w:t xml:space="preserve">sitting for this exam by about 80 percent.  </w:t>
            </w:r>
          </w:p>
          <w:p w14:paraId="41EFFC68" w14:textId="77777777" w:rsidR="00F64260" w:rsidRPr="00C710E0" w:rsidRDefault="00F64260" w:rsidP="00946B20">
            <w:pPr>
              <w:rPr>
                <w:b/>
              </w:rPr>
            </w:pPr>
          </w:p>
        </w:tc>
      </w:tr>
      <w:tr w:rsidR="00517DB2" w:rsidRPr="00C710E0" w14:paraId="376213DA" w14:textId="77777777" w:rsidTr="00923F91">
        <w:tc>
          <w:tcPr>
            <w:tcW w:w="1039"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961" w:type="pct"/>
            <w:gridSpan w:val="7"/>
          </w:tcPr>
          <w:p w14:paraId="0194753B" w14:textId="6F040FE0" w:rsidR="00517DB2" w:rsidRPr="00C710E0" w:rsidRDefault="007E38DC" w:rsidP="00517DB2">
            <w:pPr>
              <w:rPr>
                <w:b/>
              </w:rPr>
            </w:pPr>
            <w:bookmarkStart w:id="9" w:name="student_impact"/>
            <w:bookmarkEnd w:id="9"/>
            <w:r>
              <w:rPr>
                <w:color w:val="000000"/>
                <w:sz w:val="27"/>
                <w:szCs w:val="27"/>
              </w:rPr>
              <w:t xml:space="preserve">Adds more course selections for Finance majors within the </w:t>
            </w:r>
            <w:r w:rsidR="003A6B7B">
              <w:rPr>
                <w:color w:val="000000"/>
                <w:sz w:val="27"/>
                <w:szCs w:val="27"/>
              </w:rPr>
              <w:t xml:space="preserve">restrictive </w:t>
            </w:r>
            <w:r w:rsidR="00E45464">
              <w:rPr>
                <w:color w:val="000000"/>
                <w:sz w:val="27"/>
                <w:szCs w:val="27"/>
              </w:rPr>
              <w:t xml:space="preserve">elective category </w:t>
            </w:r>
            <w:r>
              <w:rPr>
                <w:color w:val="000000"/>
                <w:sz w:val="27"/>
                <w:szCs w:val="27"/>
              </w:rPr>
              <w:t>of electives</w:t>
            </w:r>
            <w:r w:rsidR="000723D6">
              <w:rPr>
                <w:color w:val="000000"/>
                <w:sz w:val="27"/>
                <w:szCs w:val="27"/>
              </w:rPr>
              <w:t xml:space="preserve"> (which with the revision on this agenda no longer lists all the options so no need to do a catalog change to add this to the program)</w:t>
            </w:r>
            <w:r w:rsidR="006413E8">
              <w:rPr>
                <w:color w:val="000000"/>
                <w:sz w:val="27"/>
                <w:szCs w:val="27"/>
              </w:rPr>
              <w:t>.  More importantly</w:t>
            </w:r>
            <w:r w:rsidR="00454910">
              <w:rPr>
                <w:color w:val="000000"/>
                <w:sz w:val="27"/>
                <w:szCs w:val="27"/>
              </w:rPr>
              <w:t>, s</w:t>
            </w:r>
            <w:r>
              <w:rPr>
                <w:color w:val="000000"/>
                <w:sz w:val="27"/>
                <w:szCs w:val="27"/>
              </w:rPr>
              <w:t xml:space="preserve">tudents </w:t>
            </w:r>
            <w:r w:rsidR="00592BF6">
              <w:rPr>
                <w:color w:val="000000"/>
                <w:sz w:val="27"/>
                <w:szCs w:val="27"/>
              </w:rPr>
              <w:t xml:space="preserve">who are interested in the </w:t>
            </w:r>
            <w:r w:rsidR="00592BF6">
              <w:rPr>
                <w:color w:val="000000"/>
                <w:sz w:val="27"/>
                <w:szCs w:val="27"/>
              </w:rPr>
              <w:lastRenderedPageBreak/>
              <w:t xml:space="preserve">investment </w:t>
            </w:r>
            <w:r w:rsidR="00001C6A">
              <w:rPr>
                <w:color w:val="000000"/>
                <w:sz w:val="27"/>
                <w:szCs w:val="27"/>
              </w:rPr>
              <w:t xml:space="preserve">area of finance </w:t>
            </w:r>
            <w:r>
              <w:rPr>
                <w:color w:val="000000"/>
                <w:sz w:val="27"/>
                <w:szCs w:val="27"/>
              </w:rPr>
              <w:t xml:space="preserve">will benefit from an upper-level course specializing in </w:t>
            </w:r>
            <w:r w:rsidR="00021681">
              <w:rPr>
                <w:color w:val="000000"/>
                <w:sz w:val="27"/>
                <w:szCs w:val="27"/>
              </w:rPr>
              <w:t xml:space="preserve">this area and </w:t>
            </w:r>
            <w:r w:rsidR="00454910">
              <w:rPr>
                <w:color w:val="000000"/>
                <w:sz w:val="27"/>
                <w:szCs w:val="27"/>
              </w:rPr>
              <w:t>preparing them for the C</w:t>
            </w:r>
            <w:r w:rsidR="00161AAA">
              <w:rPr>
                <w:color w:val="000000"/>
                <w:sz w:val="27"/>
                <w:szCs w:val="27"/>
              </w:rPr>
              <w:t>FA Level 1 Exam.</w:t>
            </w:r>
          </w:p>
        </w:tc>
      </w:tr>
      <w:tr w:rsidR="00517DB2" w:rsidRPr="00C710E0" w14:paraId="7D9FD828" w14:textId="77777777" w:rsidTr="00923F91">
        <w:tc>
          <w:tcPr>
            <w:tcW w:w="1039" w:type="pct"/>
            <w:vAlign w:val="center"/>
          </w:tcPr>
          <w:p w14:paraId="06D8C9D5" w14:textId="72F6C057" w:rsidR="00517DB2" w:rsidRPr="00C710E0" w:rsidRDefault="008D52B7" w:rsidP="008D52B7">
            <w:r w:rsidRPr="00C710E0">
              <w:lastRenderedPageBreak/>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961" w:type="pct"/>
            <w:gridSpan w:val="7"/>
          </w:tcPr>
          <w:p w14:paraId="45C3A50E" w14:textId="0FCA5361" w:rsidR="00517DB2" w:rsidRPr="00C710E0" w:rsidRDefault="001055CF" w:rsidP="00517DB2">
            <w:pPr>
              <w:rPr>
                <w:b/>
              </w:rPr>
            </w:pPr>
            <w:bookmarkStart w:id="10" w:name="prog_impact"/>
            <w:bookmarkEnd w:id="10"/>
            <w:r>
              <w:rPr>
                <w:b/>
              </w:rPr>
              <w:t>None</w:t>
            </w:r>
          </w:p>
        </w:tc>
      </w:tr>
      <w:tr w:rsidR="000723D6" w:rsidRPr="00C710E0" w14:paraId="79C15382" w14:textId="77777777" w:rsidTr="00D84724">
        <w:trPr>
          <w:cantSplit/>
        </w:trPr>
        <w:tc>
          <w:tcPr>
            <w:tcW w:w="1111" w:type="pct"/>
            <w:gridSpan w:val="2"/>
            <w:vMerge w:val="restart"/>
            <w:vAlign w:val="center"/>
          </w:tcPr>
          <w:p w14:paraId="127E22BE" w14:textId="77777777" w:rsidR="000723D6" w:rsidRPr="00C710E0" w:rsidRDefault="000723D6" w:rsidP="00D84724">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0C079F14" w14:textId="77777777" w:rsidR="000723D6" w:rsidRPr="00C710E0" w:rsidRDefault="00000000" w:rsidP="00D84724">
            <w:hyperlink w:anchor="faculty" w:tooltip="Need to hire new full-time or part-time faculty? This is where you indicate if this proposal will be affecting FLH in your department/program." w:history="1">
              <w:r w:rsidR="000723D6" w:rsidRPr="00C710E0">
                <w:rPr>
                  <w:rStyle w:val="Hyperlink"/>
                  <w:i/>
                </w:rPr>
                <w:t>Faculty PT &amp; FT</w:t>
              </w:r>
            </w:hyperlink>
            <w:r w:rsidR="000723D6" w:rsidRPr="00C710E0">
              <w:t xml:space="preserve">: </w:t>
            </w:r>
          </w:p>
        </w:tc>
        <w:tc>
          <w:tcPr>
            <w:tcW w:w="0" w:type="auto"/>
            <w:gridSpan w:val="5"/>
          </w:tcPr>
          <w:p w14:paraId="1B6E83C1" w14:textId="77777777" w:rsidR="000723D6" w:rsidRPr="00C710E0" w:rsidRDefault="000723D6" w:rsidP="00D84724">
            <w:pPr>
              <w:rPr>
                <w:b/>
              </w:rPr>
            </w:pPr>
            <w:r>
              <w:rPr>
                <w:b/>
              </w:rPr>
              <w:t>None</w:t>
            </w:r>
          </w:p>
        </w:tc>
      </w:tr>
      <w:tr w:rsidR="000723D6" w:rsidRPr="00C710E0" w14:paraId="08ED5D69" w14:textId="77777777" w:rsidTr="00D84724">
        <w:trPr>
          <w:cantSplit/>
        </w:trPr>
        <w:tc>
          <w:tcPr>
            <w:tcW w:w="1111" w:type="pct"/>
            <w:gridSpan w:val="2"/>
            <w:vMerge/>
            <w:vAlign w:val="center"/>
          </w:tcPr>
          <w:p w14:paraId="08AD9E9C" w14:textId="77777777" w:rsidR="000723D6" w:rsidRPr="00C710E0" w:rsidRDefault="000723D6" w:rsidP="00D84724"/>
        </w:tc>
        <w:tc>
          <w:tcPr>
            <w:tcW w:w="1160" w:type="pct"/>
          </w:tcPr>
          <w:p w14:paraId="07AA8E3B" w14:textId="77777777" w:rsidR="000723D6" w:rsidRPr="00C710E0" w:rsidRDefault="00000000" w:rsidP="00D84724">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0723D6" w:rsidRPr="00C710E0">
                <w:rPr>
                  <w:rStyle w:val="Hyperlink"/>
                  <w:i/>
                </w:rPr>
                <w:t>Library</w:t>
              </w:r>
              <w:r w:rsidR="000723D6" w:rsidRPr="00C710E0">
                <w:rPr>
                  <w:rStyle w:val="Hyperlink"/>
                </w:rPr>
                <w:t>:</w:t>
              </w:r>
            </w:hyperlink>
          </w:p>
        </w:tc>
        <w:tc>
          <w:tcPr>
            <w:tcW w:w="0" w:type="auto"/>
            <w:gridSpan w:val="5"/>
          </w:tcPr>
          <w:p w14:paraId="351F32D1" w14:textId="77777777" w:rsidR="000723D6" w:rsidRPr="00C710E0" w:rsidRDefault="000723D6" w:rsidP="00D84724">
            <w:pPr>
              <w:rPr>
                <w:b/>
              </w:rPr>
            </w:pPr>
            <w:r>
              <w:rPr>
                <w:b/>
              </w:rPr>
              <w:t>None</w:t>
            </w:r>
          </w:p>
        </w:tc>
      </w:tr>
      <w:tr w:rsidR="000723D6" w:rsidRPr="00C710E0" w14:paraId="062EFF5B" w14:textId="77777777" w:rsidTr="00D84724">
        <w:trPr>
          <w:cantSplit/>
        </w:trPr>
        <w:tc>
          <w:tcPr>
            <w:tcW w:w="1111" w:type="pct"/>
            <w:gridSpan w:val="2"/>
            <w:vMerge/>
            <w:vAlign w:val="center"/>
          </w:tcPr>
          <w:p w14:paraId="152544B0" w14:textId="77777777" w:rsidR="000723D6" w:rsidRPr="00C710E0" w:rsidRDefault="000723D6" w:rsidP="00D84724"/>
        </w:tc>
        <w:tc>
          <w:tcPr>
            <w:tcW w:w="1160" w:type="pct"/>
          </w:tcPr>
          <w:p w14:paraId="51C8C89D" w14:textId="77777777" w:rsidR="000723D6" w:rsidRPr="00E85B0F" w:rsidRDefault="000723D6" w:rsidP="00D84724">
            <w:pPr>
              <w:rPr>
                <w:i/>
              </w:rPr>
            </w:pPr>
            <w:r w:rsidRPr="00C710E0">
              <w:rPr>
                <w:i/>
              </w:rPr>
              <w:t>Technology (for in person delivery)</w:t>
            </w:r>
          </w:p>
        </w:tc>
        <w:tc>
          <w:tcPr>
            <w:tcW w:w="0" w:type="auto"/>
            <w:gridSpan w:val="5"/>
          </w:tcPr>
          <w:p w14:paraId="1EC4FD1D" w14:textId="77777777" w:rsidR="000723D6" w:rsidRPr="00C710E0" w:rsidRDefault="000723D6" w:rsidP="00D84724">
            <w:pPr>
              <w:rPr>
                <w:b/>
                <w:bCs/>
              </w:rPr>
            </w:pPr>
            <w:r w:rsidRPr="00C710E0">
              <w:rPr>
                <w:b/>
                <w:bCs/>
              </w:rPr>
              <w:t>None</w:t>
            </w:r>
          </w:p>
        </w:tc>
      </w:tr>
      <w:tr w:rsidR="000723D6" w:rsidRPr="00C710E0" w14:paraId="0DD2A412" w14:textId="77777777" w:rsidTr="00D84724">
        <w:trPr>
          <w:cantSplit/>
        </w:trPr>
        <w:tc>
          <w:tcPr>
            <w:tcW w:w="1111" w:type="pct"/>
            <w:gridSpan w:val="2"/>
            <w:vMerge/>
            <w:vAlign w:val="center"/>
          </w:tcPr>
          <w:p w14:paraId="5406F3EA" w14:textId="77777777" w:rsidR="000723D6" w:rsidRPr="00C710E0" w:rsidRDefault="000723D6" w:rsidP="00D84724"/>
        </w:tc>
        <w:tc>
          <w:tcPr>
            <w:tcW w:w="1160" w:type="pct"/>
          </w:tcPr>
          <w:p w14:paraId="29C83824" w14:textId="77777777" w:rsidR="000723D6" w:rsidRPr="00C710E0" w:rsidRDefault="000723D6" w:rsidP="00D84724">
            <w:pPr>
              <w:rPr>
                <w:i/>
                <w:iCs/>
                <w:sz w:val="18"/>
                <w:szCs w:val="18"/>
              </w:rPr>
            </w:pPr>
            <w:r w:rsidRPr="00C710E0">
              <w:rPr>
                <w:i/>
              </w:rPr>
              <w:t xml:space="preserve">Technology: </w:t>
            </w:r>
            <w:r w:rsidRPr="00C710E0">
              <w:rPr>
                <w:i/>
                <w:iCs/>
              </w:rPr>
              <w:t>(for online delivery. Must be RIC supported)</w:t>
            </w:r>
          </w:p>
        </w:tc>
        <w:tc>
          <w:tcPr>
            <w:tcW w:w="0" w:type="auto"/>
            <w:gridSpan w:val="5"/>
          </w:tcPr>
          <w:p w14:paraId="011E98A5" w14:textId="77777777" w:rsidR="000723D6" w:rsidRPr="00C710E0" w:rsidRDefault="000723D6" w:rsidP="00D84724">
            <w:pPr>
              <w:rPr>
                <w:b/>
                <w:bCs/>
              </w:rPr>
            </w:pPr>
            <w:r>
              <w:rPr>
                <w:b/>
              </w:rPr>
              <w:t>None</w:t>
            </w:r>
          </w:p>
        </w:tc>
      </w:tr>
      <w:tr w:rsidR="000723D6" w:rsidRPr="00C710E0" w14:paraId="3CA63190" w14:textId="77777777" w:rsidTr="00D84724">
        <w:trPr>
          <w:cantSplit/>
        </w:trPr>
        <w:tc>
          <w:tcPr>
            <w:tcW w:w="1111" w:type="pct"/>
            <w:gridSpan w:val="2"/>
            <w:vMerge/>
            <w:vAlign w:val="center"/>
          </w:tcPr>
          <w:p w14:paraId="64ED0DDF" w14:textId="77777777" w:rsidR="000723D6" w:rsidRPr="00C710E0" w:rsidRDefault="000723D6" w:rsidP="00D84724"/>
        </w:tc>
        <w:tc>
          <w:tcPr>
            <w:tcW w:w="1160" w:type="pct"/>
          </w:tcPr>
          <w:p w14:paraId="753A065A" w14:textId="77777777" w:rsidR="000723D6" w:rsidRPr="00C710E0" w:rsidRDefault="00000000" w:rsidP="00D84724">
            <w:pPr>
              <w:rPr>
                <w:i/>
              </w:rPr>
            </w:pPr>
            <w:hyperlink w:anchor="facilities" w:tooltip="Any special facilities needs? Out-of-pattern scheduling? Other?" w:history="1">
              <w:r w:rsidR="000723D6" w:rsidRPr="00C710E0">
                <w:rPr>
                  <w:rStyle w:val="Hyperlink"/>
                  <w:i/>
                </w:rPr>
                <w:t>Facilities</w:t>
              </w:r>
            </w:hyperlink>
            <w:r w:rsidR="000723D6" w:rsidRPr="00C710E0">
              <w:t>:</w:t>
            </w:r>
          </w:p>
        </w:tc>
        <w:tc>
          <w:tcPr>
            <w:tcW w:w="0" w:type="auto"/>
            <w:gridSpan w:val="5"/>
          </w:tcPr>
          <w:p w14:paraId="4E12A73A" w14:textId="77777777" w:rsidR="000723D6" w:rsidRPr="00C710E0" w:rsidRDefault="000723D6" w:rsidP="00D84724">
            <w:pPr>
              <w:rPr>
                <w:b/>
              </w:rPr>
            </w:pPr>
            <w:r>
              <w:rPr>
                <w:b/>
              </w:rPr>
              <w:t>None</w:t>
            </w:r>
          </w:p>
        </w:tc>
      </w:tr>
      <w:tr w:rsidR="000723D6" w:rsidRPr="00C710E0" w14:paraId="7905D136" w14:textId="77777777" w:rsidTr="00D84724">
        <w:trPr>
          <w:cantSplit/>
        </w:trPr>
        <w:tc>
          <w:tcPr>
            <w:tcW w:w="1111" w:type="pct"/>
            <w:gridSpan w:val="2"/>
            <w:vAlign w:val="center"/>
          </w:tcPr>
          <w:p w14:paraId="4EC844D1" w14:textId="77777777" w:rsidR="000723D6" w:rsidRPr="00C710E0" w:rsidRDefault="000723D6" w:rsidP="00D84724">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7404E827" w14:textId="77777777" w:rsidR="000723D6" w:rsidRPr="00C710E0" w:rsidRDefault="000723D6" w:rsidP="00D84724">
            <w:pPr>
              <w:rPr>
                <w:b/>
              </w:rPr>
            </w:pPr>
            <w:bookmarkStart w:id="11" w:name="date_submitted"/>
            <w:bookmarkEnd w:id="11"/>
            <w:r>
              <w:rPr>
                <w:b/>
              </w:rPr>
              <w:t>Fall 2024</w:t>
            </w:r>
          </w:p>
        </w:tc>
        <w:tc>
          <w:tcPr>
            <w:tcW w:w="1373" w:type="pct"/>
            <w:gridSpan w:val="2"/>
          </w:tcPr>
          <w:p w14:paraId="7B4B2563" w14:textId="77777777" w:rsidR="000723D6" w:rsidRPr="00C710E0" w:rsidRDefault="000723D6" w:rsidP="00D84724">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3"/>
          </w:tcPr>
          <w:p w14:paraId="0CE64586" w14:textId="77777777" w:rsidR="000723D6" w:rsidRPr="00C710E0" w:rsidRDefault="000723D6" w:rsidP="00D84724">
            <w:pPr>
              <w:rPr>
                <w:b/>
              </w:rPr>
            </w:pPr>
            <w:bookmarkStart w:id="12" w:name="Semester_effective"/>
            <w:bookmarkEnd w:id="12"/>
          </w:p>
        </w:tc>
      </w:tr>
      <w:tr w:rsidR="00F64260" w:rsidRPr="00C710E0" w14:paraId="017D18C5" w14:textId="77777777" w:rsidTr="60A52E68">
        <w:trPr>
          <w:cantSplit/>
        </w:trPr>
        <w:tc>
          <w:tcPr>
            <w:tcW w:w="5000" w:type="pct"/>
            <w:gridSpan w:val="8"/>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8"/>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8"/>
            <w:vAlign w:val="center"/>
          </w:tcPr>
          <w:p w14:paraId="7083B4D0" w14:textId="5EB7D8D6"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8"/>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2AB39396" w14:textId="2267E14E" w:rsidR="00514E2C" w:rsidRPr="00C710E0" w:rsidRDefault="00514E2C">
      <w:pPr>
        <w:spacing w:line="240" w:lineRule="auto"/>
      </w:pPr>
    </w:p>
    <w:p w14:paraId="38A10FE6" w14:textId="18918F89" w:rsidR="00514E2C" w:rsidRPr="00C710E0" w:rsidRDefault="007A5702" w:rsidP="00C344AB">
      <w:pPr>
        <w:rPr>
          <w:b/>
          <w:bCs/>
          <w:color w:val="0000FF"/>
          <w:sz w:val="24"/>
          <w:szCs w:val="24"/>
          <w:u w:val="single"/>
        </w:rPr>
      </w:pPr>
      <w:r w:rsidRPr="00C710E0">
        <w:rPr>
          <w:b/>
          <w:bCs/>
          <w:sz w:val="24"/>
          <w:szCs w:val="24"/>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sz w:val="24"/>
            <w:szCs w:val="24"/>
            <w:u w:val="single"/>
          </w:rPr>
          <w:t>NEW OR REVISED COURSES</w:t>
        </w:r>
      </w:hyperlink>
      <w:r w:rsidR="00514E2C" w:rsidRPr="00C710E0">
        <w:rPr>
          <w:b/>
          <w:bCs/>
          <w:color w:val="0000FF"/>
          <w:sz w:val="24"/>
          <w:szCs w:val="24"/>
          <w:u w:val="single"/>
        </w:rPr>
        <w:t xml:space="preserve"> </w:t>
      </w:r>
      <w:r w:rsidR="00D263FE" w:rsidRPr="00C710E0">
        <w:rPr>
          <w:b/>
          <w:bCs/>
          <w:color w:val="0000FF"/>
          <w:sz w:val="24"/>
          <w:szCs w:val="24"/>
          <w:u w:val="single"/>
        </w:rPr>
        <w:t>FOR WHICH FULL CONTACT HOURS ARE MET</w:t>
      </w:r>
      <w:r w:rsidR="00514E2C" w:rsidRPr="00C710E0">
        <w:rPr>
          <w:b/>
          <w:bCs/>
          <w:color w:val="0000FF"/>
          <w:sz w:val="24"/>
          <w:szCs w:val="24"/>
          <w:u w:val="single"/>
        </w:rPr>
        <w:t xml:space="preserve"> IN PERSON</w:t>
      </w:r>
      <w:r w:rsidR="005A0673" w:rsidRPr="00C710E0">
        <w:rPr>
          <w:b/>
          <w:bCs/>
          <w:color w:val="0000FF"/>
          <w:sz w:val="24"/>
          <w:szCs w:val="24"/>
          <w:u w:val="single"/>
        </w:rPr>
        <w:t xml:space="preserve"> and listed as such in the catalog</w:t>
      </w:r>
      <w:r w:rsidR="003D0D28" w:rsidRPr="00C710E0">
        <w:rPr>
          <w:b/>
          <w:bCs/>
          <w:color w:val="0000FF"/>
          <w:sz w:val="24"/>
          <w:szCs w:val="24"/>
          <w:u w:val="single"/>
        </w:rPr>
        <w:t xml:space="preserve">. If the course will be </w:t>
      </w:r>
      <w:r w:rsidR="00C710E0">
        <w:rPr>
          <w:b/>
          <w:bCs/>
          <w:color w:val="0000FF"/>
          <w:sz w:val="24"/>
          <w:szCs w:val="24"/>
          <w:u w:val="single"/>
        </w:rPr>
        <w:t xml:space="preserve">also </w:t>
      </w:r>
      <w:r w:rsidR="003D0D28" w:rsidRPr="00C710E0">
        <w:rPr>
          <w:b/>
          <w:bCs/>
          <w:color w:val="0000FF"/>
          <w:sz w:val="24"/>
          <w:szCs w:val="24"/>
          <w:u w:val="single"/>
        </w:rPr>
        <w:t>taught in other modes just fill out the questions that are noted at the top of section</w:t>
      </w:r>
      <w:r w:rsidR="00C710E0">
        <w:rPr>
          <w:b/>
          <w:bCs/>
          <w:color w:val="0000FF"/>
          <w:sz w:val="24"/>
          <w:szCs w:val="24"/>
          <w:u w:val="single"/>
        </w:rPr>
        <w:t>s C and/or D, as applicable</w:t>
      </w:r>
      <w:r w:rsidR="003D0D28" w:rsidRPr="00C710E0">
        <w:rPr>
          <w:b/>
          <w:bCs/>
          <w:color w:val="0000FF"/>
          <w:sz w:val="24"/>
          <w:szCs w:val="24"/>
          <w:u w:val="single"/>
        </w:rPr>
        <w:t xml:space="preserve">.  </w:t>
      </w:r>
      <w:r w:rsidR="003056A7">
        <w:rPr>
          <w:b/>
          <w:color w:val="FF0000"/>
          <w:sz w:val="20"/>
          <w:szCs w:val="20"/>
        </w:rPr>
        <w:t>Please note, that while the UCC requests information about a course’s modality, approval of the proposal does not constitute approval of any specific faculty to teach the course using that modality—that needs to be approved within the department</w:t>
      </w:r>
      <w:r w:rsidR="00800EC8">
        <w:rPr>
          <w:b/>
          <w:color w:val="FF0000"/>
          <w:sz w:val="20"/>
          <w:szCs w:val="20"/>
        </w:rPr>
        <w:t>/school</w:t>
      </w:r>
      <w:r w:rsidR="003056A7">
        <w:rPr>
          <w:b/>
          <w:color w:val="FF0000"/>
          <w:sz w:val="20"/>
          <w:szCs w:val="20"/>
        </w:rPr>
        <w:t>.</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pPr>
              <w:spacing w:line="240" w:lineRule="auto"/>
            </w:pPr>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1E34A8E4" w14:textId="77777777" w:rsidR="00F64260" w:rsidRPr="00C710E0" w:rsidRDefault="00F64260" w:rsidP="001429AA">
            <w:pPr>
              <w:spacing w:line="240" w:lineRule="auto"/>
              <w:rPr>
                <w:b/>
              </w:rPr>
            </w:pPr>
            <w:bookmarkStart w:id="13" w:name="cours_title"/>
            <w:bookmarkEnd w:id="13"/>
          </w:p>
        </w:tc>
        <w:tc>
          <w:tcPr>
            <w:tcW w:w="3840" w:type="dxa"/>
            <w:noWrap/>
          </w:tcPr>
          <w:p w14:paraId="6540064C" w14:textId="4911A0E9" w:rsidR="00F64260" w:rsidRPr="00C710E0" w:rsidRDefault="00AA6CB6" w:rsidP="001429AA">
            <w:pPr>
              <w:spacing w:line="240" w:lineRule="auto"/>
              <w:rPr>
                <w:b/>
              </w:rPr>
            </w:pPr>
            <w:r>
              <w:rPr>
                <w:b/>
              </w:rPr>
              <w:t>FIN 464</w:t>
            </w:r>
          </w:p>
        </w:tc>
      </w:tr>
      <w:tr w:rsidR="00F64260" w:rsidRPr="00C710E0" w14:paraId="203B0C45" w14:textId="77777777" w:rsidTr="60A52E68">
        <w:tc>
          <w:tcPr>
            <w:tcW w:w="3100" w:type="dxa"/>
            <w:noWrap/>
            <w:vAlign w:val="center"/>
          </w:tcPr>
          <w:p w14:paraId="4BAC956E" w14:textId="77777777" w:rsidR="00F64260" w:rsidRPr="00C710E0" w:rsidRDefault="00F64260" w:rsidP="00013152">
            <w:pPr>
              <w:spacing w:line="240" w:lineRule="auto"/>
            </w:pPr>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spacing w:line="240" w:lineRule="auto"/>
              <w:rPr>
                <w:b/>
              </w:rPr>
            </w:pPr>
          </w:p>
        </w:tc>
        <w:tc>
          <w:tcPr>
            <w:tcW w:w="3840" w:type="dxa"/>
            <w:noWrap/>
          </w:tcPr>
          <w:p w14:paraId="4E2FF0F0" w14:textId="77777777" w:rsidR="00F64260" w:rsidRPr="00C710E0" w:rsidRDefault="00F64260" w:rsidP="001429AA">
            <w:pPr>
              <w:spacing w:line="240" w:lineRule="auto"/>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pPr>
              <w:spacing w:line="240" w:lineRule="auto"/>
            </w:pPr>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386591F8" w14:textId="77777777" w:rsidR="00F64260" w:rsidRPr="00C710E0" w:rsidRDefault="00F64260" w:rsidP="001429AA">
            <w:pPr>
              <w:spacing w:line="240" w:lineRule="auto"/>
              <w:rPr>
                <w:b/>
              </w:rPr>
            </w:pPr>
            <w:bookmarkStart w:id="14" w:name="title"/>
            <w:bookmarkEnd w:id="14"/>
          </w:p>
        </w:tc>
        <w:tc>
          <w:tcPr>
            <w:tcW w:w="3840" w:type="dxa"/>
            <w:noWrap/>
          </w:tcPr>
          <w:p w14:paraId="2B9DB727" w14:textId="16006320" w:rsidR="00F64260" w:rsidRPr="00C710E0" w:rsidRDefault="0023075D" w:rsidP="001429AA">
            <w:pPr>
              <w:spacing w:line="240" w:lineRule="auto"/>
              <w:rPr>
                <w:b/>
              </w:rPr>
            </w:pPr>
            <w:r>
              <w:rPr>
                <w:b/>
              </w:rPr>
              <w:t>Fundamentals for CFA Level 1 Exam</w:t>
            </w:r>
          </w:p>
        </w:tc>
      </w:tr>
      <w:tr w:rsidR="00F64260" w:rsidRPr="00C710E0" w14:paraId="76E4D772" w14:textId="77777777" w:rsidTr="60A52E68">
        <w:tc>
          <w:tcPr>
            <w:tcW w:w="3100" w:type="dxa"/>
            <w:noWrap/>
            <w:vAlign w:val="center"/>
          </w:tcPr>
          <w:p w14:paraId="6E6A4073" w14:textId="77777777" w:rsidR="00F64260" w:rsidRPr="00C710E0" w:rsidRDefault="00F64260" w:rsidP="00013152">
            <w:pPr>
              <w:spacing w:line="240" w:lineRule="auto"/>
            </w:pPr>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7D376918" w14:textId="77777777" w:rsidR="00F64260" w:rsidRPr="00C710E0" w:rsidRDefault="00F64260" w:rsidP="009F029C">
            <w:pPr>
              <w:tabs>
                <w:tab w:val="left" w:pos="690"/>
              </w:tabs>
              <w:spacing w:line="240" w:lineRule="auto"/>
              <w:rPr>
                <w:b/>
              </w:rPr>
            </w:pPr>
            <w:bookmarkStart w:id="15" w:name="description"/>
            <w:bookmarkEnd w:id="15"/>
          </w:p>
        </w:tc>
        <w:tc>
          <w:tcPr>
            <w:tcW w:w="3840" w:type="dxa"/>
            <w:noWrap/>
          </w:tcPr>
          <w:p w14:paraId="51C7BE85" w14:textId="7C21EBA6" w:rsidR="000723D6" w:rsidRPr="000723D6" w:rsidRDefault="000723D6" w:rsidP="001429AA">
            <w:pPr>
              <w:spacing w:line="240" w:lineRule="auto"/>
              <w:rPr>
                <w:b/>
                <w:bCs/>
              </w:rPr>
            </w:pPr>
            <w:r w:rsidRPr="000723D6">
              <w:rPr>
                <w:b/>
                <w:bCs/>
              </w:rPr>
              <w:t xml:space="preserve">Students undertake a thorough review of the CFA Level 1 Exam, with emphasis on quantitative methods, economics, financial statement analysis, corporate finance, equity, fixed income, </w:t>
            </w:r>
            <w:r w:rsidRPr="000723D6">
              <w:rPr>
                <w:b/>
                <w:bCs/>
              </w:rPr>
              <w:lastRenderedPageBreak/>
              <w:t>derivatives, and portfolio management.</w:t>
            </w:r>
          </w:p>
        </w:tc>
      </w:tr>
      <w:tr w:rsidR="00F64260" w:rsidRPr="00C710E0" w14:paraId="6B87DAE3" w14:textId="77777777" w:rsidTr="60A52E68">
        <w:tc>
          <w:tcPr>
            <w:tcW w:w="3100" w:type="dxa"/>
            <w:noWrap/>
            <w:vAlign w:val="center"/>
          </w:tcPr>
          <w:p w14:paraId="442A162B" w14:textId="2FB7287C" w:rsidR="00F64260" w:rsidRPr="00C710E0" w:rsidRDefault="003C1A54" w:rsidP="00013152">
            <w:pPr>
              <w:spacing w:line="240" w:lineRule="auto"/>
            </w:pPr>
            <w:r w:rsidRPr="00C710E0">
              <w:lastRenderedPageBreak/>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DA13CE0" w14:textId="77777777" w:rsidR="00F64260" w:rsidRPr="00C710E0" w:rsidRDefault="00F64260" w:rsidP="001429AA">
            <w:pPr>
              <w:spacing w:line="240" w:lineRule="auto"/>
              <w:rPr>
                <w:b/>
              </w:rPr>
            </w:pPr>
            <w:bookmarkStart w:id="16" w:name="prereqs"/>
            <w:bookmarkEnd w:id="16"/>
          </w:p>
        </w:tc>
        <w:tc>
          <w:tcPr>
            <w:tcW w:w="3840" w:type="dxa"/>
            <w:noWrap/>
          </w:tcPr>
          <w:p w14:paraId="4DA91B44" w14:textId="2C8A8DAE" w:rsidR="00F64260" w:rsidRPr="00C710E0" w:rsidRDefault="000F532D" w:rsidP="001429AA">
            <w:pPr>
              <w:spacing w:line="240" w:lineRule="auto"/>
              <w:rPr>
                <w:b/>
              </w:rPr>
            </w:pPr>
            <w:r>
              <w:rPr>
                <w:b/>
              </w:rPr>
              <w:t xml:space="preserve">FIN 431 </w:t>
            </w:r>
            <w:r w:rsidR="000723D6">
              <w:rPr>
                <w:b/>
              </w:rPr>
              <w:t xml:space="preserve">and </w:t>
            </w:r>
            <w:r>
              <w:rPr>
                <w:b/>
              </w:rPr>
              <w:t>FIN 432</w:t>
            </w:r>
          </w:p>
        </w:tc>
      </w:tr>
      <w:tr w:rsidR="00F64260" w:rsidRPr="00C710E0" w14:paraId="5AE5E526" w14:textId="77777777" w:rsidTr="60A52E68">
        <w:tc>
          <w:tcPr>
            <w:tcW w:w="3100" w:type="dxa"/>
            <w:noWrap/>
            <w:vAlign w:val="center"/>
          </w:tcPr>
          <w:p w14:paraId="55E538D7" w14:textId="4314D751" w:rsidR="00F64260" w:rsidRPr="00C710E0" w:rsidRDefault="003C1A54" w:rsidP="00013152">
            <w:pPr>
              <w:spacing w:line="240" w:lineRule="auto"/>
            </w:pPr>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1D8BA031" w:rsidR="00F64260" w:rsidRPr="00C710E0" w:rsidRDefault="00F64260" w:rsidP="000A36CD">
            <w:pPr>
              <w:spacing w:line="240" w:lineRule="auto"/>
              <w:rPr>
                <w:b/>
                <w:sz w:val="20"/>
              </w:rPr>
            </w:pPr>
          </w:p>
        </w:tc>
        <w:tc>
          <w:tcPr>
            <w:tcW w:w="3840" w:type="dxa"/>
            <w:noWrap/>
          </w:tcPr>
          <w:p w14:paraId="6C8D2300" w14:textId="343DDBC7" w:rsidR="006B19AB" w:rsidRPr="00C710E0" w:rsidRDefault="00F64260" w:rsidP="006B19AB">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Fall </w:t>
            </w:r>
          </w:p>
          <w:p w14:paraId="67D1137F" w14:textId="5086EC2A" w:rsidR="00F64260" w:rsidRPr="00C710E0" w:rsidRDefault="00F64260" w:rsidP="00D263FE">
            <w:pPr>
              <w:spacing w:line="240" w:lineRule="auto"/>
              <w:rPr>
                <w:rFonts w:asciiTheme="minorHAnsi" w:eastAsiaTheme="minorEastAsia" w:hAnsiTheme="minorHAnsi" w:cstheme="minorBidi"/>
                <w:b/>
                <w:bCs/>
                <w:sz w:val="20"/>
                <w:szCs w:val="20"/>
              </w:rPr>
            </w:pPr>
          </w:p>
        </w:tc>
      </w:tr>
      <w:tr w:rsidR="00F64260" w:rsidRPr="00C710E0" w14:paraId="12464B8B" w14:textId="77777777" w:rsidTr="60A52E68">
        <w:tc>
          <w:tcPr>
            <w:tcW w:w="3100" w:type="dxa"/>
            <w:noWrap/>
            <w:vAlign w:val="center"/>
          </w:tcPr>
          <w:p w14:paraId="4094BFDE" w14:textId="1C3E0692" w:rsidR="00F64260" w:rsidRPr="00C710E0" w:rsidRDefault="003C1A54" w:rsidP="00013152">
            <w:pPr>
              <w:spacing w:line="240" w:lineRule="auto"/>
            </w:pPr>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77777777" w:rsidR="00F64260" w:rsidRPr="00C710E0" w:rsidRDefault="00F64260" w:rsidP="001429AA">
            <w:pPr>
              <w:spacing w:line="240" w:lineRule="auto"/>
              <w:rPr>
                <w:b/>
              </w:rPr>
            </w:pPr>
            <w:bookmarkStart w:id="17" w:name="contacthours"/>
            <w:bookmarkEnd w:id="17"/>
          </w:p>
        </w:tc>
        <w:tc>
          <w:tcPr>
            <w:tcW w:w="3840" w:type="dxa"/>
            <w:noWrap/>
          </w:tcPr>
          <w:p w14:paraId="57D144B9" w14:textId="0A7AFE94" w:rsidR="00F64260" w:rsidRPr="00C710E0" w:rsidRDefault="0063311E"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F64260" w:rsidRPr="00C710E0" w14:paraId="677C9DA2" w14:textId="77777777" w:rsidTr="60A52E68">
        <w:tc>
          <w:tcPr>
            <w:tcW w:w="3100" w:type="dxa"/>
            <w:noWrap/>
            <w:vAlign w:val="center"/>
          </w:tcPr>
          <w:p w14:paraId="2DCCE146" w14:textId="0BAEDDC6" w:rsidR="00F64260" w:rsidRPr="00C710E0" w:rsidRDefault="003C1A54" w:rsidP="00013152">
            <w:pPr>
              <w:spacing w:line="240" w:lineRule="auto"/>
            </w:pPr>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7777777" w:rsidR="00F64260" w:rsidRPr="00C710E0" w:rsidRDefault="00F64260" w:rsidP="001429AA">
            <w:pPr>
              <w:spacing w:line="240" w:lineRule="auto"/>
              <w:rPr>
                <w:b/>
              </w:rPr>
            </w:pPr>
            <w:bookmarkStart w:id="18" w:name="credits"/>
            <w:bookmarkEnd w:id="18"/>
          </w:p>
        </w:tc>
        <w:tc>
          <w:tcPr>
            <w:tcW w:w="3840" w:type="dxa"/>
            <w:noWrap/>
          </w:tcPr>
          <w:p w14:paraId="7DD4CAFF" w14:textId="2B85181C" w:rsidR="00F64260" w:rsidRPr="00C710E0" w:rsidRDefault="0063311E"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F64260" w:rsidRPr="00C710E0" w14:paraId="658C4762" w14:textId="77777777" w:rsidTr="60A52E68">
        <w:tc>
          <w:tcPr>
            <w:tcW w:w="3100" w:type="dxa"/>
            <w:noWrap/>
            <w:vAlign w:val="center"/>
          </w:tcPr>
          <w:p w14:paraId="4546E96E" w14:textId="3C01EC5C" w:rsidR="00F64260" w:rsidRPr="00C710E0" w:rsidRDefault="004313E6" w:rsidP="00013152">
            <w:pPr>
              <w:spacing w:line="240" w:lineRule="auto"/>
            </w:pPr>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77777777" w:rsidR="00F64260" w:rsidRPr="00C710E0" w:rsidRDefault="00F64260" w:rsidP="60A52E68">
            <w:pPr>
              <w:spacing w:line="240" w:lineRule="auto"/>
              <w:rPr>
                <w:rStyle w:val="TEXT"/>
                <w:rFonts w:asciiTheme="minorHAnsi" w:eastAsiaTheme="minorEastAsia" w:hAnsiTheme="minorHAnsi" w:cstheme="minorBidi"/>
              </w:rPr>
            </w:pPr>
            <w:bookmarkStart w:id="19" w:name="differences"/>
            <w:bookmarkEnd w:id="19"/>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pPr>
              <w:spacing w:line="240" w:lineRule="auto"/>
            </w:pPr>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6CC3E47B" w:rsidR="00F64260" w:rsidRPr="00C710E0" w:rsidRDefault="00F64260" w:rsidP="001429AA">
            <w:pPr>
              <w:spacing w:line="240" w:lineRule="auto"/>
              <w:rPr>
                <w:b/>
                <w:sz w:val="20"/>
              </w:rPr>
            </w:pPr>
          </w:p>
        </w:tc>
        <w:tc>
          <w:tcPr>
            <w:tcW w:w="3840" w:type="dxa"/>
            <w:noWrap/>
          </w:tcPr>
          <w:p w14:paraId="2CF717EE" w14:textId="53AFE25B"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Pass/Fail </w:t>
            </w:r>
          </w:p>
        </w:tc>
      </w:tr>
      <w:tr w:rsidR="00F64260" w:rsidRPr="00C710E0" w14:paraId="66DAB74D" w14:textId="77777777" w:rsidTr="60A52E68">
        <w:tc>
          <w:tcPr>
            <w:tcW w:w="3100" w:type="dxa"/>
            <w:noWrap/>
            <w:vAlign w:val="center"/>
          </w:tcPr>
          <w:p w14:paraId="0FE25A74" w14:textId="2D558F07" w:rsidR="00190853" w:rsidRPr="00C710E0" w:rsidRDefault="7E609E54" w:rsidP="60A52E68">
            <w:pPr>
              <w:spacing w:line="240" w:lineRule="auto"/>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322137B9" w:rsidR="00F64260" w:rsidRPr="00C710E0" w:rsidRDefault="00F64260" w:rsidP="006B20A9">
            <w:pPr>
              <w:spacing w:line="240" w:lineRule="auto"/>
              <w:rPr>
                <w:b/>
                <w:sz w:val="20"/>
              </w:rPr>
            </w:pPr>
            <w:bookmarkStart w:id="20" w:name="instr_methods"/>
            <w:bookmarkEnd w:id="20"/>
          </w:p>
        </w:tc>
        <w:tc>
          <w:tcPr>
            <w:tcW w:w="3840" w:type="dxa"/>
            <w:noWrap/>
          </w:tcPr>
          <w:p w14:paraId="27D66483" w14:textId="148B1FE8" w:rsidR="00F64260" w:rsidRPr="00C710E0" w:rsidRDefault="00F64260"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Small group </w:t>
            </w:r>
          </w:p>
        </w:tc>
      </w:tr>
      <w:tr w:rsidR="00F64260" w:rsidRPr="00C710E0" w14:paraId="40E0E48F" w14:textId="77777777" w:rsidTr="60A52E68">
        <w:tc>
          <w:tcPr>
            <w:tcW w:w="3100" w:type="dxa"/>
            <w:noWrap/>
            <w:vAlign w:val="center"/>
          </w:tcPr>
          <w:p w14:paraId="75167C81" w14:textId="1534D889" w:rsidR="00CF0A1D" w:rsidRPr="00C710E0" w:rsidRDefault="004313E6" w:rsidP="00013152">
            <w:pPr>
              <w:spacing w:line="240" w:lineRule="auto"/>
            </w:pPr>
            <w:r w:rsidRPr="00C710E0">
              <w:t>B.12</w:t>
            </w:r>
            <w:r w:rsidR="00F64260" w:rsidRPr="00C710E0">
              <w:t>.</w:t>
            </w:r>
            <w:r w:rsidR="00CF0A1D" w:rsidRPr="00C710E0">
              <w:t xml:space="preserve">  CATEGORIES</w:t>
            </w:r>
          </w:p>
          <w:p w14:paraId="6FB6EA46" w14:textId="3187FB97" w:rsidR="00F64260" w:rsidRPr="00C710E0" w:rsidRDefault="00CF0A1D" w:rsidP="00013152">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7466F72" w14:textId="3F63838E" w:rsidR="00F64260" w:rsidRPr="00C710E0" w:rsidRDefault="00F64260" w:rsidP="00A87611">
            <w:pPr>
              <w:spacing w:line="240" w:lineRule="auto"/>
              <w:rPr>
                <w:b/>
                <w:sz w:val="20"/>
              </w:rPr>
            </w:pPr>
            <w:bookmarkStart w:id="21" w:name="required"/>
            <w:bookmarkEnd w:id="21"/>
          </w:p>
        </w:tc>
        <w:tc>
          <w:tcPr>
            <w:tcW w:w="3840" w:type="dxa"/>
            <w:noWrap/>
          </w:tcPr>
          <w:p w14:paraId="442E5788" w14:textId="4243F855" w:rsidR="00F64260" w:rsidRPr="00C710E0" w:rsidRDefault="539762BD"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Restricted elective for major/minor</w:t>
            </w:r>
          </w:p>
        </w:tc>
      </w:tr>
      <w:tr w:rsidR="00F64260" w:rsidRPr="00C710E0" w14:paraId="4F77409C" w14:textId="77777777" w:rsidTr="60A52E68">
        <w:tc>
          <w:tcPr>
            <w:tcW w:w="3100" w:type="dxa"/>
            <w:noWrap/>
            <w:vAlign w:val="center"/>
          </w:tcPr>
          <w:p w14:paraId="7F5AE404" w14:textId="48CB92C4" w:rsidR="00CF0A1D" w:rsidRPr="00C710E0" w:rsidRDefault="00CF0A1D" w:rsidP="00013152">
            <w:pPr>
              <w:spacing w:line="240" w:lineRule="auto"/>
            </w:pPr>
            <w:r w:rsidRPr="00C710E0">
              <w:t xml:space="preserve">       </w:t>
            </w:r>
            <w:r w:rsidR="004313E6" w:rsidRPr="00C710E0">
              <w:t>1</w:t>
            </w:r>
            <w:r w:rsidRPr="00C710E0">
              <w:t>2 b</w:t>
            </w:r>
            <w:r w:rsidR="00F64260" w:rsidRPr="00C710E0">
              <w:t xml:space="preserve">. Is this an </w:t>
            </w:r>
            <w:proofErr w:type="gramStart"/>
            <w:r w:rsidR="00F64260" w:rsidRPr="00C710E0">
              <w:t>Honors</w:t>
            </w:r>
            <w:proofErr w:type="gramEnd"/>
            <w:r w:rsidR="00F64260" w:rsidRPr="00C710E0">
              <w:t xml:space="preserve"> </w:t>
            </w:r>
            <w:r w:rsidRPr="00C710E0">
              <w:t xml:space="preserve"> </w:t>
            </w:r>
          </w:p>
          <w:p w14:paraId="0EAD07DC" w14:textId="134BC383" w:rsidR="00F64260" w:rsidRPr="00C710E0" w:rsidRDefault="00CF0A1D" w:rsidP="00013152">
            <w:pPr>
              <w:spacing w:line="240" w:lineRule="auto"/>
            </w:pPr>
            <w:r w:rsidRPr="00C710E0">
              <w:t xml:space="preserve">        </w:t>
            </w:r>
            <w:r w:rsidR="00F64260" w:rsidRPr="00C710E0">
              <w:t>course?</w:t>
            </w:r>
          </w:p>
        </w:tc>
        <w:tc>
          <w:tcPr>
            <w:tcW w:w="3840" w:type="dxa"/>
            <w:noWrap/>
          </w:tcPr>
          <w:p w14:paraId="1F134875" w14:textId="67BAC622" w:rsidR="00F64260" w:rsidRPr="00C710E0" w:rsidRDefault="00F64260" w:rsidP="001429AA">
            <w:pPr>
              <w:spacing w:line="240" w:lineRule="auto"/>
              <w:rPr>
                <w:b/>
              </w:rPr>
            </w:pPr>
          </w:p>
        </w:tc>
        <w:tc>
          <w:tcPr>
            <w:tcW w:w="3840" w:type="dxa"/>
            <w:noWrap/>
          </w:tcPr>
          <w:p w14:paraId="41CF798F" w14:textId="39E6064E" w:rsidR="00F64260" w:rsidRPr="00C710E0" w:rsidRDefault="55C18588" w:rsidP="60A52E68">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sz w:val="20"/>
                <w:szCs w:val="20"/>
              </w:rPr>
              <w:t xml:space="preserve"> </w:t>
            </w:r>
            <w:r w:rsidR="00F3256C"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spacing w:line="240" w:lineRule="auto"/>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spacing w:line="240" w:lineRule="auto"/>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spacing w:line="240" w:lineRule="auto"/>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071181E7" w14:textId="0350079B" w:rsidR="00F64260" w:rsidRPr="00C710E0" w:rsidRDefault="00F64260" w:rsidP="001A51ED">
            <w:pPr>
              <w:rPr>
                <w:b/>
                <w:sz w:val="20"/>
              </w:rPr>
            </w:pPr>
            <w:bookmarkStart w:id="22" w:name="ge"/>
            <w:bookmarkEnd w:id="22"/>
          </w:p>
        </w:tc>
        <w:tc>
          <w:tcPr>
            <w:tcW w:w="3840" w:type="dxa"/>
            <w:noWrap/>
          </w:tcPr>
          <w:p w14:paraId="411B25D5" w14:textId="1BB5982B" w:rsidR="00984B36" w:rsidRPr="00C710E0" w:rsidRDefault="00F3256C" w:rsidP="60A52E68">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0DC6B2CB" w:rsidR="00F64260" w:rsidRPr="00C710E0" w:rsidRDefault="00F64260" w:rsidP="60A52E68">
            <w:pPr>
              <w:spacing w:line="240" w:lineRule="auto"/>
              <w:rPr>
                <w:rFonts w:asciiTheme="minorHAnsi" w:eastAsiaTheme="minorEastAsia" w:hAnsiTheme="minorHAnsi" w:cstheme="minorBidi"/>
                <w:b/>
                <w:bCs/>
                <w:sz w:val="20"/>
                <w:szCs w:val="20"/>
              </w:rPr>
            </w:pPr>
          </w:p>
        </w:tc>
      </w:tr>
      <w:tr w:rsidR="00CF0A1D" w:rsidRPr="00C710E0" w14:paraId="14ABFD2C" w14:textId="77777777" w:rsidTr="60A52E68">
        <w:tc>
          <w:tcPr>
            <w:tcW w:w="3100" w:type="dxa"/>
            <w:noWrap/>
            <w:vAlign w:val="center"/>
          </w:tcPr>
          <w:p w14:paraId="6E254464" w14:textId="77777777" w:rsidR="00CF0A1D" w:rsidRPr="00C710E0" w:rsidRDefault="00CF0A1D" w:rsidP="00CF0A1D">
            <w:pPr>
              <w:spacing w:line="240" w:lineRule="auto"/>
            </w:pPr>
            <w:r w:rsidRPr="00C710E0">
              <w:t xml:space="preserve">       12. d.  Writing in the </w:t>
            </w:r>
          </w:p>
          <w:p w14:paraId="1762C985" w14:textId="22C77AE9" w:rsidR="00CF0A1D" w:rsidRPr="00C710E0" w:rsidRDefault="00CF0A1D" w:rsidP="00CF0A1D">
            <w:pPr>
              <w:spacing w:line="240" w:lineRule="auto"/>
            </w:pPr>
            <w:r w:rsidRPr="00C710E0">
              <w:t xml:space="preserve">       Discipline (WID)</w:t>
            </w:r>
          </w:p>
        </w:tc>
        <w:tc>
          <w:tcPr>
            <w:tcW w:w="3840" w:type="dxa"/>
            <w:noWrap/>
          </w:tcPr>
          <w:p w14:paraId="43D9AC56" w14:textId="30408573" w:rsidR="00CF0A1D" w:rsidRPr="00C710E0" w:rsidRDefault="00CF0A1D" w:rsidP="001A51ED">
            <w:pPr>
              <w:rPr>
                <w:b/>
              </w:rPr>
            </w:pPr>
          </w:p>
        </w:tc>
        <w:tc>
          <w:tcPr>
            <w:tcW w:w="3840" w:type="dxa"/>
            <w:noWrap/>
          </w:tcPr>
          <w:p w14:paraId="10B541DA" w14:textId="43A8DDC9" w:rsidR="00CF0A1D" w:rsidRPr="00C710E0" w:rsidRDefault="000F532D"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NO</w:t>
            </w:r>
            <w:r w:rsidR="00CF0A1D" w:rsidRPr="00C710E0">
              <w:rPr>
                <w:rFonts w:asciiTheme="minorHAnsi" w:eastAsiaTheme="minorEastAsia" w:hAnsiTheme="minorHAnsi" w:cstheme="minorBidi"/>
                <w:b/>
                <w:bCs/>
              </w:rPr>
              <w:t xml:space="preserve"> </w:t>
            </w:r>
          </w:p>
        </w:tc>
      </w:tr>
      <w:tr w:rsidR="00F64260" w:rsidRPr="00C710E0" w14:paraId="7309520B" w14:textId="77777777" w:rsidTr="60A52E68">
        <w:tc>
          <w:tcPr>
            <w:tcW w:w="3100" w:type="dxa"/>
            <w:noWrap/>
            <w:vAlign w:val="center"/>
          </w:tcPr>
          <w:p w14:paraId="070EE83F" w14:textId="5656486E" w:rsidR="00F64260" w:rsidRPr="00C710E0" w:rsidRDefault="004313E6" w:rsidP="00BB11B9">
            <w:pPr>
              <w:spacing w:line="240" w:lineRule="auto"/>
            </w:pPr>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1A66AF8F" w14:textId="364C52D7" w:rsidR="00F64260" w:rsidRPr="00C710E0" w:rsidRDefault="00F64260" w:rsidP="00F00C16">
            <w:pPr>
              <w:spacing w:line="240" w:lineRule="auto"/>
              <w:rPr>
                <w:b/>
                <w:bCs/>
                <w:color w:val="000000" w:themeColor="text1"/>
                <w:sz w:val="20"/>
                <w:szCs w:val="20"/>
              </w:rPr>
            </w:pPr>
            <w:bookmarkStart w:id="23" w:name="performance"/>
            <w:bookmarkEnd w:id="23"/>
          </w:p>
        </w:tc>
        <w:tc>
          <w:tcPr>
            <w:tcW w:w="3840" w:type="dxa"/>
            <w:noWrap/>
          </w:tcPr>
          <w:p w14:paraId="0D2600E3" w14:textId="71BDA7A3" w:rsidR="005E2D3D" w:rsidRPr="00C710E0" w:rsidRDefault="005E2D3D"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Attendance | Class participation | Exams | Class Work | Quizzes |</w:t>
            </w:r>
          </w:p>
          <w:p w14:paraId="33AC4615" w14:textId="13D4FB93" w:rsidR="00F64260" w:rsidRPr="00C710E0" w:rsidRDefault="00D263FE" w:rsidP="60A52E68">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LMS participation</w:t>
            </w:r>
          </w:p>
        </w:tc>
      </w:tr>
      <w:tr w:rsidR="00BF30C5" w:rsidRPr="00C710E0" w14:paraId="679110FC" w14:textId="77777777" w:rsidTr="60A52E68">
        <w:tc>
          <w:tcPr>
            <w:tcW w:w="3100" w:type="dxa"/>
            <w:noWrap/>
            <w:vAlign w:val="center"/>
          </w:tcPr>
          <w:p w14:paraId="76B36BCE" w14:textId="39C4BAC4" w:rsidR="00BF30C5" w:rsidRPr="00C710E0" w:rsidRDefault="00BF30C5" w:rsidP="00BF30C5">
            <w:pPr>
              <w:spacing w:line="240" w:lineRule="auto"/>
            </w:pPr>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5C3BB186" w14:textId="77777777" w:rsidR="00BF30C5" w:rsidRPr="00C710E0" w:rsidRDefault="00BF30C5" w:rsidP="001429AA">
            <w:pPr>
              <w:spacing w:line="240" w:lineRule="auto"/>
              <w:rPr>
                <w:b/>
              </w:rPr>
            </w:pPr>
          </w:p>
        </w:tc>
        <w:tc>
          <w:tcPr>
            <w:tcW w:w="3840" w:type="dxa"/>
            <w:noWrap/>
          </w:tcPr>
          <w:p w14:paraId="79164CE6" w14:textId="67B26E12" w:rsidR="00BF30C5" w:rsidRPr="00C710E0" w:rsidRDefault="004237A8" w:rsidP="60A52E68">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15</w:t>
            </w:r>
          </w:p>
        </w:tc>
      </w:tr>
      <w:tr w:rsidR="00F64260" w:rsidRPr="00C710E0" w14:paraId="071E0CC5" w14:textId="77777777" w:rsidTr="60A52E68">
        <w:tc>
          <w:tcPr>
            <w:tcW w:w="3100" w:type="dxa"/>
            <w:noWrap/>
            <w:vAlign w:val="center"/>
          </w:tcPr>
          <w:p w14:paraId="479D5599" w14:textId="60B97604" w:rsidR="00F64260" w:rsidRPr="00C710E0" w:rsidRDefault="004313E6" w:rsidP="003771EB">
            <w:pPr>
              <w:spacing w:line="240" w:lineRule="auto"/>
            </w:pPr>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spacing w:line="240" w:lineRule="auto"/>
              <w:rPr>
                <w:b/>
              </w:rPr>
            </w:pPr>
            <w:bookmarkStart w:id="25" w:name="competing"/>
            <w:bookmarkEnd w:id="25"/>
          </w:p>
        </w:tc>
        <w:tc>
          <w:tcPr>
            <w:tcW w:w="3840" w:type="dxa"/>
            <w:noWrap/>
          </w:tcPr>
          <w:p w14:paraId="15AF74BC" w14:textId="42B21DC6" w:rsidR="00F64260" w:rsidRPr="00C710E0" w:rsidRDefault="000F532D" w:rsidP="001429AA">
            <w:pPr>
              <w:spacing w:line="240" w:lineRule="auto"/>
              <w:rPr>
                <w:b/>
              </w:rPr>
            </w:pPr>
            <w:r>
              <w:rPr>
                <w:b/>
              </w:rPr>
              <w:t>The course relies on and/or reviews topics covered in ACCT 201, ECON 214, ECON 215, FIN 301, FIN 431, FIN 432, FIN 435, FIN 436, FIN 441, FIN 463W in the context of the CFA level I exam.</w:t>
            </w:r>
          </w:p>
        </w:tc>
      </w:tr>
      <w:tr w:rsidR="00F64260" w:rsidRPr="00C710E0" w14:paraId="5CAD96CC" w14:textId="77777777" w:rsidTr="60A52E68">
        <w:tc>
          <w:tcPr>
            <w:tcW w:w="3100" w:type="dxa"/>
            <w:noWrap/>
            <w:vAlign w:val="center"/>
          </w:tcPr>
          <w:p w14:paraId="26DC8516" w14:textId="6EA4A3C9" w:rsidR="00F64260" w:rsidRPr="00C710E0" w:rsidRDefault="004313E6" w:rsidP="00013152">
            <w:pPr>
              <w:spacing w:line="240" w:lineRule="auto"/>
            </w:pPr>
            <w:r w:rsidRPr="00C710E0">
              <w:t>B. 1</w:t>
            </w:r>
            <w:r w:rsidR="003771EB" w:rsidRPr="00C710E0">
              <w:t>6</w:t>
            </w:r>
            <w:r w:rsidR="00F64260" w:rsidRPr="00C710E0">
              <w:t xml:space="preserve">. Other </w:t>
            </w:r>
            <w:proofErr w:type="gramStart"/>
            <w:r w:rsidR="00F64260" w:rsidRPr="00C710E0">
              <w:t>changes, if</w:t>
            </w:r>
            <w:proofErr w:type="gramEnd"/>
            <w:r w:rsidR="00F64260" w:rsidRPr="00C710E0">
              <w:t xml:space="preserve"> any</w:t>
            </w:r>
          </w:p>
        </w:tc>
        <w:tc>
          <w:tcPr>
            <w:tcW w:w="7680" w:type="dxa"/>
            <w:gridSpan w:val="2"/>
            <w:noWrap/>
          </w:tcPr>
          <w:p w14:paraId="74EA5436" w14:textId="77777777" w:rsidR="00F64260" w:rsidRPr="00C710E0" w:rsidRDefault="00F64260" w:rsidP="001429AA">
            <w:pPr>
              <w:spacing w:line="240" w:lineRule="auto"/>
              <w:rPr>
                <w:rStyle w:val="TEXT"/>
              </w:rPr>
            </w:pPr>
          </w:p>
        </w:tc>
      </w:tr>
    </w:tbl>
    <w:p w14:paraId="0A7F01A1" w14:textId="77777777" w:rsidR="00F64260" w:rsidRPr="00C710E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28"/>
        <w:gridCol w:w="1894"/>
        <w:gridCol w:w="4558"/>
      </w:tblGrid>
      <w:tr w:rsidR="00F64260" w:rsidRPr="00C710E0" w14:paraId="707BEBAF" w14:textId="77777777" w:rsidTr="00115A68">
        <w:trPr>
          <w:cantSplit/>
          <w:tblHeader/>
        </w:trPr>
        <w:tc>
          <w:tcPr>
            <w:tcW w:w="4429" w:type="dxa"/>
          </w:tcPr>
          <w:p w14:paraId="456E3815" w14:textId="4F17C1E5" w:rsidR="00F64260" w:rsidRPr="00C710E0" w:rsidRDefault="004313E6" w:rsidP="00D64DF4">
            <w:pPr>
              <w:spacing w:line="240" w:lineRule="auto"/>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894" w:type="dxa"/>
          </w:tcPr>
          <w:p w14:paraId="306A591E" w14:textId="1E39739F" w:rsidR="00F64260" w:rsidRPr="00C710E0" w:rsidRDefault="00000000">
            <w:pPr>
              <w:spacing w:line="240" w:lineRule="auto"/>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693" w:type="dxa"/>
          </w:tcPr>
          <w:p w14:paraId="7AE9A56B" w14:textId="3B4CAAFE" w:rsidR="00F64260" w:rsidRPr="00C710E0" w:rsidRDefault="00000000" w:rsidP="00D64DF4">
            <w:pPr>
              <w:spacing w:line="240" w:lineRule="auto"/>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115A68">
        <w:tc>
          <w:tcPr>
            <w:tcW w:w="4429" w:type="dxa"/>
          </w:tcPr>
          <w:p w14:paraId="4E937535" w14:textId="4BEA56ED" w:rsidR="00C07A90" w:rsidRPr="00160393" w:rsidRDefault="001B06D9" w:rsidP="008312C4">
            <w:pPr>
              <w:pStyle w:val="NormalWeb"/>
              <w:rPr>
                <w:color w:val="000000"/>
                <w:sz w:val="27"/>
                <w:szCs w:val="27"/>
              </w:rPr>
            </w:pPr>
            <w:bookmarkStart w:id="26" w:name="outcomes"/>
            <w:bookmarkEnd w:id="26"/>
            <w:r w:rsidRPr="00856F65">
              <w:rPr>
                <w:b/>
                <w:bCs/>
              </w:rPr>
              <w:t>Understanding of Investment Tools:</w:t>
            </w:r>
            <w:r>
              <w:t xml:space="preserve"> Students will gain proficiency in using various investment tools such as quantitative methods, economics, financial reporting and analysis, corporate finance, and portfolio management to analyze and make investment decisions.</w:t>
            </w:r>
          </w:p>
        </w:tc>
        <w:tc>
          <w:tcPr>
            <w:tcW w:w="1894" w:type="dxa"/>
          </w:tcPr>
          <w:p w14:paraId="0A045709" w14:textId="77777777" w:rsidR="00F64260" w:rsidRPr="00C710E0" w:rsidRDefault="00F64260">
            <w:pPr>
              <w:spacing w:line="240" w:lineRule="auto"/>
            </w:pPr>
          </w:p>
        </w:tc>
        <w:tc>
          <w:tcPr>
            <w:tcW w:w="4693" w:type="dxa"/>
          </w:tcPr>
          <w:p w14:paraId="638BB382" w14:textId="15EAFF59" w:rsidR="00F64260" w:rsidRPr="00C710E0" w:rsidRDefault="00810D2E" w:rsidP="00AE7A3D">
            <w:pPr>
              <w:spacing w:line="240" w:lineRule="auto"/>
            </w:pPr>
            <w:proofErr w:type="spellStart"/>
            <w:r>
              <w:t>In</w:t>
            </w:r>
            <w:proofErr w:type="spellEnd"/>
            <w:r>
              <w:t xml:space="preserve"> class assignments, </w:t>
            </w:r>
            <w:r w:rsidR="006A5EAE">
              <w:t xml:space="preserve">area assessment tests, </w:t>
            </w:r>
            <w:r w:rsidR="00A227EA">
              <w:t xml:space="preserve">and </w:t>
            </w:r>
            <w:r w:rsidR="006A5EAE">
              <w:t xml:space="preserve">mock </w:t>
            </w:r>
            <w:r w:rsidR="00A227EA">
              <w:t>exams</w:t>
            </w:r>
          </w:p>
        </w:tc>
      </w:tr>
      <w:tr w:rsidR="001B06D9" w:rsidRPr="00C710E0" w14:paraId="54653D20" w14:textId="77777777" w:rsidTr="00115A68">
        <w:tc>
          <w:tcPr>
            <w:tcW w:w="4429" w:type="dxa"/>
          </w:tcPr>
          <w:p w14:paraId="2CACA4F4" w14:textId="21157D9C" w:rsidR="001B06D9" w:rsidRPr="00856F65" w:rsidRDefault="001B06D9" w:rsidP="008312C4">
            <w:pPr>
              <w:pStyle w:val="NormalWeb"/>
              <w:rPr>
                <w:b/>
                <w:bCs/>
              </w:rPr>
            </w:pPr>
            <w:r w:rsidRPr="00856F65">
              <w:rPr>
                <w:b/>
                <w:bCs/>
              </w:rPr>
              <w:lastRenderedPageBreak/>
              <w:t>Knowledge of Ethical and Professional Standards:</w:t>
            </w:r>
            <w:r>
              <w:t xml:space="preserve"> Students will comprehend and apply the CFA Institute's Code of Ethics and Standards of Professional Conduct, demonstrating ethical and professional behavior in the investment profession.</w:t>
            </w:r>
          </w:p>
        </w:tc>
        <w:tc>
          <w:tcPr>
            <w:tcW w:w="1894" w:type="dxa"/>
          </w:tcPr>
          <w:p w14:paraId="7640EC32" w14:textId="77777777" w:rsidR="001B06D9" w:rsidRPr="00C710E0" w:rsidRDefault="001B06D9">
            <w:pPr>
              <w:spacing w:line="240" w:lineRule="auto"/>
            </w:pPr>
          </w:p>
        </w:tc>
        <w:tc>
          <w:tcPr>
            <w:tcW w:w="4693" w:type="dxa"/>
          </w:tcPr>
          <w:p w14:paraId="33B225E9" w14:textId="27DAC31E" w:rsidR="001B06D9" w:rsidRDefault="001B06D9" w:rsidP="00AE7A3D">
            <w:pPr>
              <w:spacing w:line="240" w:lineRule="auto"/>
            </w:pPr>
            <w:r>
              <w:t>In class assignments, area assessment tests, and mock exams.</w:t>
            </w:r>
          </w:p>
        </w:tc>
      </w:tr>
      <w:tr w:rsidR="001B06D9" w:rsidRPr="00C710E0" w14:paraId="03FDBABD" w14:textId="77777777" w:rsidTr="00115A68">
        <w:tc>
          <w:tcPr>
            <w:tcW w:w="4429" w:type="dxa"/>
          </w:tcPr>
          <w:p w14:paraId="710FAC91" w14:textId="022A51F2" w:rsidR="001B06D9" w:rsidRPr="00856F65" w:rsidRDefault="001B06D9" w:rsidP="001B06D9">
            <w:pPr>
              <w:pStyle w:val="NormalWeb"/>
              <w:tabs>
                <w:tab w:val="left" w:pos="2605"/>
              </w:tabs>
              <w:rPr>
                <w:b/>
                <w:bCs/>
              </w:rPr>
            </w:pPr>
            <w:r w:rsidRPr="00856F65">
              <w:rPr>
                <w:b/>
                <w:bCs/>
              </w:rPr>
              <w:t>Financial Reporting and Analysis:</w:t>
            </w:r>
            <w:r>
              <w:t xml:space="preserve"> Students will be able to analyze financial statements to evaluate the financial health and performance of companies, including understanding the principles of revenue recognition, inventory valuation, and expense recognition.</w:t>
            </w:r>
          </w:p>
        </w:tc>
        <w:tc>
          <w:tcPr>
            <w:tcW w:w="1894" w:type="dxa"/>
          </w:tcPr>
          <w:p w14:paraId="015C3143" w14:textId="77777777" w:rsidR="001B06D9" w:rsidRPr="00C710E0" w:rsidRDefault="001B06D9">
            <w:pPr>
              <w:spacing w:line="240" w:lineRule="auto"/>
            </w:pPr>
          </w:p>
        </w:tc>
        <w:tc>
          <w:tcPr>
            <w:tcW w:w="4693" w:type="dxa"/>
          </w:tcPr>
          <w:p w14:paraId="48DA911C" w14:textId="2E932292" w:rsidR="001B06D9" w:rsidRDefault="001B06D9" w:rsidP="00AE7A3D">
            <w:pPr>
              <w:spacing w:line="240" w:lineRule="auto"/>
            </w:pPr>
            <w:r>
              <w:t>In class assignments, area assessment tests, and mock exams.</w:t>
            </w:r>
          </w:p>
        </w:tc>
      </w:tr>
      <w:tr w:rsidR="001B06D9" w:rsidRPr="00C710E0" w14:paraId="508B31A9" w14:textId="77777777" w:rsidTr="00115A68">
        <w:tc>
          <w:tcPr>
            <w:tcW w:w="4429" w:type="dxa"/>
          </w:tcPr>
          <w:p w14:paraId="172351E4" w14:textId="1D7A292E" w:rsidR="001B06D9" w:rsidRPr="00856F65" w:rsidRDefault="001B06D9" w:rsidP="001B06D9">
            <w:pPr>
              <w:pStyle w:val="NormalWeb"/>
              <w:tabs>
                <w:tab w:val="left" w:pos="2605"/>
              </w:tabs>
              <w:rPr>
                <w:b/>
                <w:bCs/>
              </w:rPr>
            </w:pPr>
            <w:r w:rsidRPr="00856F65">
              <w:rPr>
                <w:b/>
                <w:bCs/>
              </w:rPr>
              <w:t>Quantitative Methods:</w:t>
            </w:r>
            <w:r>
              <w:t xml:space="preserve"> Students will develop competency in quantitative techniques, including time value of money, probability concepts, and statistical analysis, to analyze financial data and make informed investment decisions.</w:t>
            </w:r>
          </w:p>
        </w:tc>
        <w:tc>
          <w:tcPr>
            <w:tcW w:w="1894" w:type="dxa"/>
          </w:tcPr>
          <w:p w14:paraId="41094AEE" w14:textId="77777777" w:rsidR="001B06D9" w:rsidRPr="00C710E0" w:rsidRDefault="001B06D9">
            <w:pPr>
              <w:spacing w:line="240" w:lineRule="auto"/>
            </w:pPr>
          </w:p>
        </w:tc>
        <w:tc>
          <w:tcPr>
            <w:tcW w:w="4693" w:type="dxa"/>
          </w:tcPr>
          <w:p w14:paraId="1C8C61A8" w14:textId="3BC920A8" w:rsidR="001B06D9" w:rsidRDefault="001B06D9" w:rsidP="00AE7A3D">
            <w:pPr>
              <w:spacing w:line="240" w:lineRule="auto"/>
            </w:pPr>
            <w:r>
              <w:t>In class assignments, area assessment tests, and mock exams.</w:t>
            </w:r>
          </w:p>
        </w:tc>
      </w:tr>
      <w:tr w:rsidR="001B06D9" w:rsidRPr="00C710E0" w14:paraId="55F04B41" w14:textId="77777777" w:rsidTr="00115A68">
        <w:tc>
          <w:tcPr>
            <w:tcW w:w="4429" w:type="dxa"/>
          </w:tcPr>
          <w:p w14:paraId="73090216" w14:textId="0C9F20C9" w:rsidR="001B06D9" w:rsidRPr="00856F65" w:rsidRDefault="001B06D9" w:rsidP="001B06D9">
            <w:pPr>
              <w:pStyle w:val="NormalWeb"/>
              <w:tabs>
                <w:tab w:val="left" w:pos="2605"/>
              </w:tabs>
              <w:rPr>
                <w:b/>
                <w:bCs/>
              </w:rPr>
            </w:pPr>
            <w:r w:rsidRPr="00676F27">
              <w:rPr>
                <w:b/>
                <w:bCs/>
              </w:rPr>
              <w:t>Understanding of Economics:</w:t>
            </w:r>
            <w:r>
              <w:t xml:space="preserve"> Students will acquire knowledge of economic principles and their impact on financial markets, including macroeconomic and microeconomic factors influencing investment decisions.</w:t>
            </w:r>
          </w:p>
        </w:tc>
        <w:tc>
          <w:tcPr>
            <w:tcW w:w="1894" w:type="dxa"/>
          </w:tcPr>
          <w:p w14:paraId="3BA20C30" w14:textId="77777777" w:rsidR="001B06D9" w:rsidRPr="00C710E0" w:rsidRDefault="001B06D9">
            <w:pPr>
              <w:spacing w:line="240" w:lineRule="auto"/>
            </w:pPr>
          </w:p>
        </w:tc>
        <w:tc>
          <w:tcPr>
            <w:tcW w:w="4693" w:type="dxa"/>
          </w:tcPr>
          <w:p w14:paraId="52BA7390" w14:textId="631FDAF5" w:rsidR="001B06D9" w:rsidRDefault="001B06D9" w:rsidP="00AE7A3D">
            <w:pPr>
              <w:spacing w:line="240" w:lineRule="auto"/>
            </w:pPr>
            <w:r>
              <w:t>In class assignments, area assessment tests, and mock exams.</w:t>
            </w:r>
          </w:p>
        </w:tc>
      </w:tr>
      <w:tr w:rsidR="001B06D9" w:rsidRPr="00C710E0" w14:paraId="71FD5300" w14:textId="77777777" w:rsidTr="00115A68">
        <w:tc>
          <w:tcPr>
            <w:tcW w:w="4429" w:type="dxa"/>
          </w:tcPr>
          <w:p w14:paraId="6D065470" w14:textId="4C0FC94B" w:rsidR="001B06D9" w:rsidRPr="00676F27" w:rsidRDefault="001B06D9" w:rsidP="001B06D9">
            <w:pPr>
              <w:pStyle w:val="NormalWeb"/>
              <w:tabs>
                <w:tab w:val="left" w:pos="2605"/>
              </w:tabs>
              <w:rPr>
                <w:b/>
                <w:bCs/>
              </w:rPr>
            </w:pPr>
            <w:r w:rsidRPr="00676F27">
              <w:rPr>
                <w:b/>
                <w:bCs/>
              </w:rPr>
              <w:t>Corporate Finance:</w:t>
            </w:r>
            <w:r>
              <w:t xml:space="preserve"> Students will understand the principles of corporate finance, including capital budgeting, cost of capital, and capital structure decisions, and apply them in investment analysis and decision-making.</w:t>
            </w:r>
          </w:p>
        </w:tc>
        <w:tc>
          <w:tcPr>
            <w:tcW w:w="1894" w:type="dxa"/>
          </w:tcPr>
          <w:p w14:paraId="26E23FB4" w14:textId="77777777" w:rsidR="001B06D9" w:rsidRPr="00C710E0" w:rsidRDefault="001B06D9">
            <w:pPr>
              <w:spacing w:line="240" w:lineRule="auto"/>
            </w:pPr>
          </w:p>
        </w:tc>
        <w:tc>
          <w:tcPr>
            <w:tcW w:w="4693" w:type="dxa"/>
          </w:tcPr>
          <w:p w14:paraId="50B2AF56" w14:textId="5929F6B8" w:rsidR="001B06D9" w:rsidRDefault="001B06D9" w:rsidP="00AE7A3D">
            <w:pPr>
              <w:spacing w:line="240" w:lineRule="auto"/>
            </w:pPr>
            <w:r>
              <w:t>In class assignments, area assessment tests, and mock exams.</w:t>
            </w:r>
          </w:p>
        </w:tc>
      </w:tr>
      <w:tr w:rsidR="001B06D9" w:rsidRPr="00C710E0" w14:paraId="6CFE3EED" w14:textId="77777777" w:rsidTr="00115A68">
        <w:tc>
          <w:tcPr>
            <w:tcW w:w="4429" w:type="dxa"/>
          </w:tcPr>
          <w:p w14:paraId="11425C21" w14:textId="3A5177BC" w:rsidR="001B06D9" w:rsidRPr="00676F27" w:rsidRDefault="001B06D9" w:rsidP="001B06D9">
            <w:pPr>
              <w:pStyle w:val="NormalWeb"/>
              <w:tabs>
                <w:tab w:val="left" w:pos="2605"/>
              </w:tabs>
              <w:rPr>
                <w:b/>
                <w:bCs/>
              </w:rPr>
            </w:pPr>
            <w:r w:rsidRPr="00676F27">
              <w:rPr>
                <w:b/>
                <w:bCs/>
              </w:rPr>
              <w:t xml:space="preserve">Equity Investments: </w:t>
            </w:r>
            <w:r>
              <w:t>Students will gain knowledge of equity investment analysis, including valuation techniques, industry analysis, and company-specific analysis, to make informed investment recommendations.</w:t>
            </w:r>
          </w:p>
        </w:tc>
        <w:tc>
          <w:tcPr>
            <w:tcW w:w="1894" w:type="dxa"/>
          </w:tcPr>
          <w:p w14:paraId="39D50613" w14:textId="77777777" w:rsidR="001B06D9" w:rsidRPr="00C710E0" w:rsidRDefault="001B06D9">
            <w:pPr>
              <w:spacing w:line="240" w:lineRule="auto"/>
            </w:pPr>
          </w:p>
        </w:tc>
        <w:tc>
          <w:tcPr>
            <w:tcW w:w="4693" w:type="dxa"/>
          </w:tcPr>
          <w:p w14:paraId="3C56E78F" w14:textId="33CEF054" w:rsidR="001B06D9" w:rsidRDefault="001B06D9" w:rsidP="00AE7A3D">
            <w:pPr>
              <w:spacing w:line="240" w:lineRule="auto"/>
            </w:pPr>
            <w:r>
              <w:t>In class assignments, area assessment tests, and mock exams.</w:t>
            </w:r>
          </w:p>
        </w:tc>
      </w:tr>
      <w:tr w:rsidR="001B06D9" w:rsidRPr="00C710E0" w14:paraId="0202F2E5" w14:textId="77777777" w:rsidTr="00115A68">
        <w:tc>
          <w:tcPr>
            <w:tcW w:w="4429" w:type="dxa"/>
          </w:tcPr>
          <w:p w14:paraId="42563543" w14:textId="65F3CDC6" w:rsidR="001B06D9" w:rsidRPr="00676F27" w:rsidRDefault="001B06D9" w:rsidP="001B06D9">
            <w:pPr>
              <w:pStyle w:val="NormalWeb"/>
              <w:tabs>
                <w:tab w:val="left" w:pos="2605"/>
              </w:tabs>
              <w:rPr>
                <w:b/>
                <w:bCs/>
              </w:rPr>
            </w:pPr>
            <w:r w:rsidRPr="00676F27">
              <w:rPr>
                <w:b/>
                <w:bCs/>
              </w:rPr>
              <w:t>Fixed Income Investments:</w:t>
            </w:r>
            <w:r>
              <w:t xml:space="preserve"> Students will comprehend fixed income securities and their valuation, including bond pricing, yield measures, and the impact of interest rate changes on bond prices and returns.</w:t>
            </w:r>
          </w:p>
        </w:tc>
        <w:tc>
          <w:tcPr>
            <w:tcW w:w="1894" w:type="dxa"/>
          </w:tcPr>
          <w:p w14:paraId="004612C0" w14:textId="77777777" w:rsidR="001B06D9" w:rsidRPr="00C710E0" w:rsidRDefault="001B06D9">
            <w:pPr>
              <w:spacing w:line="240" w:lineRule="auto"/>
            </w:pPr>
          </w:p>
        </w:tc>
        <w:tc>
          <w:tcPr>
            <w:tcW w:w="4693" w:type="dxa"/>
          </w:tcPr>
          <w:p w14:paraId="1B4A0733" w14:textId="382A304A" w:rsidR="001B06D9" w:rsidRDefault="001B06D9" w:rsidP="00AE7A3D">
            <w:pPr>
              <w:spacing w:line="240" w:lineRule="auto"/>
            </w:pPr>
            <w:r>
              <w:t>In class assignments, area assessment tests, and mock exams.</w:t>
            </w:r>
          </w:p>
        </w:tc>
      </w:tr>
      <w:tr w:rsidR="001B06D9" w:rsidRPr="00C710E0" w14:paraId="7D27B31F" w14:textId="77777777" w:rsidTr="00115A68">
        <w:tc>
          <w:tcPr>
            <w:tcW w:w="4429" w:type="dxa"/>
          </w:tcPr>
          <w:p w14:paraId="608602F8" w14:textId="7068F34D" w:rsidR="001B06D9" w:rsidRPr="00676F27" w:rsidRDefault="001B06D9" w:rsidP="001B06D9">
            <w:pPr>
              <w:pStyle w:val="NormalWeb"/>
              <w:tabs>
                <w:tab w:val="left" w:pos="2605"/>
              </w:tabs>
              <w:rPr>
                <w:b/>
                <w:bCs/>
              </w:rPr>
            </w:pPr>
            <w:r w:rsidRPr="00676F27">
              <w:rPr>
                <w:b/>
                <w:bCs/>
              </w:rPr>
              <w:lastRenderedPageBreak/>
              <w:t xml:space="preserve">Derivative Investments: </w:t>
            </w:r>
            <w:r>
              <w:t>Students will understand the characteristics of derivative instruments, including options, futures, and swaps, and their role in managing risk and enhancing investment returns.</w:t>
            </w:r>
          </w:p>
        </w:tc>
        <w:tc>
          <w:tcPr>
            <w:tcW w:w="1894" w:type="dxa"/>
          </w:tcPr>
          <w:p w14:paraId="102CC461" w14:textId="77777777" w:rsidR="001B06D9" w:rsidRPr="00C710E0" w:rsidRDefault="001B06D9">
            <w:pPr>
              <w:spacing w:line="240" w:lineRule="auto"/>
            </w:pPr>
          </w:p>
        </w:tc>
        <w:tc>
          <w:tcPr>
            <w:tcW w:w="4693" w:type="dxa"/>
          </w:tcPr>
          <w:p w14:paraId="20768060" w14:textId="2C8846B1" w:rsidR="001B06D9" w:rsidRDefault="001B06D9" w:rsidP="00AE7A3D">
            <w:pPr>
              <w:spacing w:line="240" w:lineRule="auto"/>
            </w:pPr>
            <w:r>
              <w:t>In class assignments, area assessment tests, and mock exams.</w:t>
            </w:r>
          </w:p>
        </w:tc>
      </w:tr>
      <w:tr w:rsidR="001B06D9" w:rsidRPr="00C710E0" w14:paraId="3238B1D5" w14:textId="77777777" w:rsidTr="00115A68">
        <w:tc>
          <w:tcPr>
            <w:tcW w:w="4429" w:type="dxa"/>
          </w:tcPr>
          <w:p w14:paraId="2A007480" w14:textId="7F792612" w:rsidR="001B06D9" w:rsidRPr="00676F27" w:rsidRDefault="001B06D9" w:rsidP="001B06D9">
            <w:pPr>
              <w:pStyle w:val="NormalWeb"/>
              <w:tabs>
                <w:tab w:val="left" w:pos="2605"/>
              </w:tabs>
              <w:rPr>
                <w:b/>
                <w:bCs/>
              </w:rPr>
            </w:pPr>
            <w:r w:rsidRPr="00676F27">
              <w:rPr>
                <w:b/>
                <w:bCs/>
              </w:rPr>
              <w:t>Alternative Investments:</w:t>
            </w:r>
            <w:r>
              <w:t xml:space="preserve"> Students will be familiar with alternative investments such as real estate, private equity, hedge funds, and commodities, including their characteristics, risks, and potential benefits in investment portfolios.</w:t>
            </w:r>
          </w:p>
        </w:tc>
        <w:tc>
          <w:tcPr>
            <w:tcW w:w="1894" w:type="dxa"/>
          </w:tcPr>
          <w:p w14:paraId="6E821D80" w14:textId="77777777" w:rsidR="001B06D9" w:rsidRPr="00C710E0" w:rsidRDefault="001B06D9">
            <w:pPr>
              <w:spacing w:line="240" w:lineRule="auto"/>
            </w:pPr>
          </w:p>
        </w:tc>
        <w:tc>
          <w:tcPr>
            <w:tcW w:w="4693" w:type="dxa"/>
          </w:tcPr>
          <w:p w14:paraId="10B2B0E3" w14:textId="0685BF52" w:rsidR="001B06D9" w:rsidRDefault="001B06D9" w:rsidP="00AE7A3D">
            <w:pPr>
              <w:spacing w:line="240" w:lineRule="auto"/>
            </w:pPr>
            <w:r>
              <w:t>In class assignments, area assessment tests, and mock exams.</w:t>
            </w:r>
          </w:p>
        </w:tc>
      </w:tr>
      <w:tr w:rsidR="001B06D9" w:rsidRPr="00C710E0" w14:paraId="390344F3" w14:textId="77777777" w:rsidTr="00115A68">
        <w:tc>
          <w:tcPr>
            <w:tcW w:w="4429" w:type="dxa"/>
          </w:tcPr>
          <w:p w14:paraId="72794F2C" w14:textId="4D78ECBA" w:rsidR="001B06D9" w:rsidRPr="00676F27" w:rsidRDefault="001B06D9" w:rsidP="001B06D9">
            <w:pPr>
              <w:pStyle w:val="NormalWeb"/>
              <w:tabs>
                <w:tab w:val="left" w:pos="2605"/>
              </w:tabs>
              <w:rPr>
                <w:b/>
                <w:bCs/>
              </w:rPr>
            </w:pPr>
            <w:r w:rsidRPr="00676F27">
              <w:rPr>
                <w:b/>
                <w:bCs/>
              </w:rPr>
              <w:t>Portfolio Management and Wealth Planning:</w:t>
            </w:r>
            <w:r>
              <w:t xml:space="preserve"> Students will learn principles of portfolio management, including asset allocation, portfolio construction, and performance evaluation, and apply them in managing investment portfolios and wealth planning.</w:t>
            </w:r>
          </w:p>
        </w:tc>
        <w:tc>
          <w:tcPr>
            <w:tcW w:w="1894" w:type="dxa"/>
          </w:tcPr>
          <w:p w14:paraId="32DF2D5E" w14:textId="77777777" w:rsidR="001B06D9" w:rsidRPr="00C710E0" w:rsidRDefault="001B06D9">
            <w:pPr>
              <w:spacing w:line="240" w:lineRule="auto"/>
            </w:pPr>
          </w:p>
        </w:tc>
        <w:tc>
          <w:tcPr>
            <w:tcW w:w="4693" w:type="dxa"/>
          </w:tcPr>
          <w:p w14:paraId="36DC35A8" w14:textId="5CB112BB" w:rsidR="001B06D9" w:rsidRDefault="001B06D9" w:rsidP="00AE7A3D">
            <w:pPr>
              <w:spacing w:line="240" w:lineRule="auto"/>
            </w:pPr>
            <w:r>
              <w:t>In class assignments, area assessment tests, and mock exams.</w:t>
            </w:r>
          </w:p>
        </w:tc>
      </w:tr>
      <w:tr w:rsidR="001B06D9" w:rsidRPr="00C710E0" w14:paraId="59A4C0E1" w14:textId="77777777" w:rsidTr="00115A68">
        <w:tc>
          <w:tcPr>
            <w:tcW w:w="4429" w:type="dxa"/>
          </w:tcPr>
          <w:p w14:paraId="1DAB209D" w14:textId="65ABCDBD" w:rsidR="001B06D9" w:rsidRPr="00676F27" w:rsidRDefault="001B06D9" w:rsidP="001B06D9">
            <w:pPr>
              <w:pStyle w:val="NormalWeb"/>
              <w:tabs>
                <w:tab w:val="left" w:pos="2605"/>
              </w:tabs>
              <w:rPr>
                <w:b/>
                <w:bCs/>
              </w:rPr>
            </w:pPr>
            <w:r>
              <w:t>These learning outcomes should equip students with the knowledge and skills necessary to successfully pass the CFA Level 1 exam and lay a strong foundation for their future career in finance and investment management.</w:t>
            </w:r>
          </w:p>
        </w:tc>
        <w:tc>
          <w:tcPr>
            <w:tcW w:w="1894" w:type="dxa"/>
          </w:tcPr>
          <w:p w14:paraId="490EEEF7" w14:textId="77777777" w:rsidR="001B06D9" w:rsidRPr="00C710E0" w:rsidRDefault="001B06D9">
            <w:pPr>
              <w:spacing w:line="240" w:lineRule="auto"/>
            </w:pPr>
          </w:p>
        </w:tc>
        <w:tc>
          <w:tcPr>
            <w:tcW w:w="4693" w:type="dxa"/>
          </w:tcPr>
          <w:p w14:paraId="5CF261F4" w14:textId="5FDBDA81" w:rsidR="001B06D9" w:rsidRDefault="001B06D9" w:rsidP="00AE7A3D">
            <w:pPr>
              <w:spacing w:line="240" w:lineRule="auto"/>
            </w:pPr>
            <w:r w:rsidRPr="00676F27">
              <w:rPr>
                <w:b/>
                <w:bCs/>
              </w:rPr>
              <w:t>Practice with Mock Exams:</w:t>
            </w:r>
            <w:r>
              <w:t xml:space="preserve"> Students will have the opportunity to practice with mock exams that simulate the format and difficulty level of the CFA Level 1 exam, helping them assess their readiness and identify areas for further study.</w:t>
            </w:r>
          </w:p>
        </w:tc>
      </w:tr>
    </w:tbl>
    <w:p w14:paraId="6825CDF0" w14:textId="77777777" w:rsidR="008312C4" w:rsidRDefault="008312C4"/>
    <w:p w14:paraId="5FEA3145" w14:textId="77777777" w:rsidR="008312C4" w:rsidRPr="00C710E0" w:rsidRDefault="008312C4"/>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spacing w:line="240" w:lineRule="auto"/>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38C7DDD8" w14:textId="77777777" w:rsidR="005E2D3D" w:rsidRDefault="000F532D" w:rsidP="000F532D">
            <w:pPr>
              <w:pStyle w:val="ListParagraph"/>
              <w:numPr>
                <w:ilvl w:val="0"/>
                <w:numId w:val="19"/>
              </w:numPr>
              <w:spacing w:line="240" w:lineRule="auto"/>
            </w:pPr>
            <w:bookmarkStart w:id="27" w:name="outline"/>
            <w:bookmarkEnd w:id="27"/>
            <w:r>
              <w:t>Quantitative Models</w:t>
            </w:r>
          </w:p>
          <w:p w14:paraId="6A6C8C9C" w14:textId="77777777" w:rsidR="000F532D" w:rsidRDefault="000F532D" w:rsidP="000F532D">
            <w:pPr>
              <w:pStyle w:val="ListParagraph"/>
              <w:numPr>
                <w:ilvl w:val="1"/>
                <w:numId w:val="19"/>
              </w:numPr>
              <w:spacing w:line="240" w:lineRule="auto"/>
            </w:pPr>
            <w:r>
              <w:t>Time Value of Money</w:t>
            </w:r>
          </w:p>
          <w:p w14:paraId="1629334F" w14:textId="77777777" w:rsidR="000F532D" w:rsidRDefault="000F532D" w:rsidP="000F532D">
            <w:pPr>
              <w:pStyle w:val="ListParagraph"/>
              <w:numPr>
                <w:ilvl w:val="1"/>
                <w:numId w:val="19"/>
              </w:numPr>
              <w:spacing w:line="240" w:lineRule="auto"/>
            </w:pPr>
            <w:r>
              <w:t>Organizing, Visualizing, and Describing Data</w:t>
            </w:r>
          </w:p>
          <w:p w14:paraId="03E53248" w14:textId="77777777" w:rsidR="000F532D" w:rsidRDefault="000F532D" w:rsidP="000F532D">
            <w:pPr>
              <w:pStyle w:val="ListParagraph"/>
              <w:numPr>
                <w:ilvl w:val="1"/>
                <w:numId w:val="19"/>
              </w:numPr>
              <w:spacing w:line="240" w:lineRule="auto"/>
            </w:pPr>
            <w:r>
              <w:t>Probability Concepts</w:t>
            </w:r>
          </w:p>
          <w:p w14:paraId="35CF11AB" w14:textId="77777777" w:rsidR="000F532D" w:rsidRDefault="000F532D" w:rsidP="000F532D">
            <w:pPr>
              <w:pStyle w:val="ListParagraph"/>
              <w:numPr>
                <w:ilvl w:val="1"/>
                <w:numId w:val="19"/>
              </w:numPr>
              <w:spacing w:line="240" w:lineRule="auto"/>
            </w:pPr>
            <w:r>
              <w:t>Sampling and Estimation</w:t>
            </w:r>
          </w:p>
          <w:p w14:paraId="3BEE2F5D" w14:textId="77777777" w:rsidR="000F532D" w:rsidRDefault="000F532D" w:rsidP="000F532D">
            <w:pPr>
              <w:pStyle w:val="ListParagraph"/>
              <w:numPr>
                <w:ilvl w:val="1"/>
                <w:numId w:val="19"/>
              </w:numPr>
              <w:spacing w:line="240" w:lineRule="auto"/>
            </w:pPr>
            <w:r>
              <w:t>Hypothesis Testing</w:t>
            </w:r>
          </w:p>
          <w:p w14:paraId="14867F4A" w14:textId="77777777" w:rsidR="000F532D" w:rsidRDefault="000F532D" w:rsidP="000F532D">
            <w:pPr>
              <w:pStyle w:val="ListParagraph"/>
              <w:numPr>
                <w:ilvl w:val="1"/>
                <w:numId w:val="19"/>
              </w:numPr>
              <w:spacing w:line="240" w:lineRule="auto"/>
            </w:pPr>
            <w:r>
              <w:t>Introduction to Linear Regression</w:t>
            </w:r>
          </w:p>
          <w:p w14:paraId="246957DE" w14:textId="77777777" w:rsidR="000F532D" w:rsidRDefault="000F532D" w:rsidP="000F532D">
            <w:pPr>
              <w:pStyle w:val="ListParagraph"/>
              <w:numPr>
                <w:ilvl w:val="0"/>
                <w:numId w:val="19"/>
              </w:numPr>
              <w:spacing w:line="240" w:lineRule="auto"/>
            </w:pPr>
            <w:r>
              <w:t>Economics</w:t>
            </w:r>
          </w:p>
          <w:p w14:paraId="6A1A7BB8" w14:textId="77777777" w:rsidR="000F532D" w:rsidRDefault="000F532D" w:rsidP="000F532D">
            <w:pPr>
              <w:pStyle w:val="ListParagraph"/>
              <w:numPr>
                <w:ilvl w:val="1"/>
                <w:numId w:val="19"/>
              </w:numPr>
              <w:spacing w:line="240" w:lineRule="auto"/>
            </w:pPr>
            <w:r>
              <w:t>Topics in Demand and Supply analysis</w:t>
            </w:r>
          </w:p>
          <w:p w14:paraId="7AA774FF" w14:textId="77777777" w:rsidR="000F532D" w:rsidRDefault="000F532D" w:rsidP="000F532D">
            <w:pPr>
              <w:pStyle w:val="ListParagraph"/>
              <w:numPr>
                <w:ilvl w:val="1"/>
                <w:numId w:val="19"/>
              </w:numPr>
              <w:spacing w:line="240" w:lineRule="auto"/>
            </w:pPr>
            <w:r>
              <w:t>The Firm and Market Structures</w:t>
            </w:r>
          </w:p>
          <w:p w14:paraId="78873549" w14:textId="77777777" w:rsidR="000F532D" w:rsidRDefault="000F532D" w:rsidP="000F532D">
            <w:pPr>
              <w:pStyle w:val="ListParagraph"/>
              <w:numPr>
                <w:ilvl w:val="1"/>
                <w:numId w:val="19"/>
              </w:numPr>
              <w:spacing w:line="240" w:lineRule="auto"/>
            </w:pPr>
            <w:r>
              <w:t>Aggregate Output, Prices, and Economic Growth</w:t>
            </w:r>
          </w:p>
          <w:p w14:paraId="1DE2A8E5" w14:textId="77777777" w:rsidR="000F532D" w:rsidRDefault="000F532D" w:rsidP="000F532D">
            <w:pPr>
              <w:pStyle w:val="ListParagraph"/>
              <w:numPr>
                <w:ilvl w:val="1"/>
                <w:numId w:val="19"/>
              </w:numPr>
              <w:spacing w:line="240" w:lineRule="auto"/>
            </w:pPr>
            <w:r>
              <w:t>Understanding Business Cycles</w:t>
            </w:r>
          </w:p>
          <w:p w14:paraId="1A1B1080" w14:textId="77777777" w:rsidR="000F532D" w:rsidRDefault="000F532D" w:rsidP="000F532D">
            <w:pPr>
              <w:pStyle w:val="ListParagraph"/>
              <w:numPr>
                <w:ilvl w:val="1"/>
                <w:numId w:val="19"/>
              </w:numPr>
              <w:spacing w:line="240" w:lineRule="auto"/>
            </w:pPr>
            <w:r>
              <w:t>Monetary and Fiscal Policy</w:t>
            </w:r>
          </w:p>
          <w:p w14:paraId="54902DFD" w14:textId="77777777" w:rsidR="000F532D" w:rsidRDefault="000F532D" w:rsidP="000F532D">
            <w:pPr>
              <w:pStyle w:val="ListParagraph"/>
              <w:numPr>
                <w:ilvl w:val="1"/>
                <w:numId w:val="19"/>
              </w:numPr>
              <w:spacing w:line="240" w:lineRule="auto"/>
            </w:pPr>
            <w:r>
              <w:t>Introduction to Geopolitics</w:t>
            </w:r>
          </w:p>
          <w:p w14:paraId="3597C444" w14:textId="77777777" w:rsidR="000F532D" w:rsidRDefault="000F532D" w:rsidP="000F532D">
            <w:pPr>
              <w:pStyle w:val="ListParagraph"/>
              <w:numPr>
                <w:ilvl w:val="1"/>
                <w:numId w:val="19"/>
              </w:numPr>
              <w:spacing w:line="240" w:lineRule="auto"/>
            </w:pPr>
            <w:r>
              <w:t>International Trade and Capital Flows</w:t>
            </w:r>
          </w:p>
          <w:p w14:paraId="71410E8F" w14:textId="77777777" w:rsidR="000F532D" w:rsidRDefault="000F532D" w:rsidP="000F532D">
            <w:pPr>
              <w:pStyle w:val="ListParagraph"/>
              <w:numPr>
                <w:ilvl w:val="1"/>
                <w:numId w:val="19"/>
              </w:numPr>
              <w:spacing w:line="240" w:lineRule="auto"/>
            </w:pPr>
            <w:r>
              <w:t>Currency Exchange Rates</w:t>
            </w:r>
          </w:p>
          <w:p w14:paraId="6076009C" w14:textId="0247B87C" w:rsidR="000F532D" w:rsidRDefault="000F532D" w:rsidP="000F532D">
            <w:pPr>
              <w:pStyle w:val="ListParagraph"/>
              <w:numPr>
                <w:ilvl w:val="0"/>
                <w:numId w:val="19"/>
              </w:numPr>
              <w:spacing w:line="240" w:lineRule="auto"/>
            </w:pPr>
            <w:r>
              <w:lastRenderedPageBreak/>
              <w:t>Financial Statement Analysis</w:t>
            </w:r>
          </w:p>
          <w:p w14:paraId="2A023B1D" w14:textId="12E33200" w:rsidR="000F532D" w:rsidRDefault="000F532D" w:rsidP="000F532D">
            <w:pPr>
              <w:pStyle w:val="ListParagraph"/>
              <w:numPr>
                <w:ilvl w:val="1"/>
                <w:numId w:val="19"/>
              </w:numPr>
              <w:spacing w:line="240" w:lineRule="auto"/>
            </w:pPr>
            <w:r>
              <w:t>Introduction to Financial Statement Analysis</w:t>
            </w:r>
          </w:p>
          <w:p w14:paraId="30387BE1" w14:textId="2E31217B" w:rsidR="000F532D" w:rsidRDefault="000F532D" w:rsidP="000F532D">
            <w:pPr>
              <w:pStyle w:val="ListParagraph"/>
              <w:numPr>
                <w:ilvl w:val="1"/>
                <w:numId w:val="19"/>
              </w:numPr>
              <w:spacing w:line="240" w:lineRule="auto"/>
            </w:pPr>
            <w:r>
              <w:t>Financial Reporting Standards</w:t>
            </w:r>
          </w:p>
          <w:p w14:paraId="43C78FB9" w14:textId="595115DD" w:rsidR="000F532D" w:rsidRDefault="000F532D" w:rsidP="000F532D">
            <w:pPr>
              <w:pStyle w:val="ListParagraph"/>
              <w:numPr>
                <w:ilvl w:val="1"/>
                <w:numId w:val="19"/>
              </w:numPr>
              <w:spacing w:line="240" w:lineRule="auto"/>
            </w:pPr>
            <w:r>
              <w:t>Understanding Income Statements</w:t>
            </w:r>
          </w:p>
          <w:p w14:paraId="78DB6E78" w14:textId="0559702C" w:rsidR="000F532D" w:rsidRDefault="000F532D" w:rsidP="000F532D">
            <w:pPr>
              <w:pStyle w:val="ListParagraph"/>
              <w:numPr>
                <w:ilvl w:val="1"/>
                <w:numId w:val="19"/>
              </w:numPr>
              <w:spacing w:line="240" w:lineRule="auto"/>
            </w:pPr>
            <w:r>
              <w:t>Understanding Balance Sheets</w:t>
            </w:r>
          </w:p>
          <w:p w14:paraId="1870D7F3" w14:textId="528B7E9E" w:rsidR="000F532D" w:rsidRDefault="000F532D" w:rsidP="000F532D">
            <w:pPr>
              <w:pStyle w:val="ListParagraph"/>
              <w:numPr>
                <w:ilvl w:val="1"/>
                <w:numId w:val="19"/>
              </w:numPr>
              <w:spacing w:line="240" w:lineRule="auto"/>
            </w:pPr>
            <w:r>
              <w:t>Understanding Cash Flow Statements</w:t>
            </w:r>
          </w:p>
          <w:p w14:paraId="33F34C2C" w14:textId="616A86D8" w:rsidR="000F532D" w:rsidRDefault="000F532D" w:rsidP="000F532D">
            <w:pPr>
              <w:pStyle w:val="ListParagraph"/>
              <w:numPr>
                <w:ilvl w:val="1"/>
                <w:numId w:val="19"/>
              </w:numPr>
              <w:spacing w:line="240" w:lineRule="auto"/>
            </w:pPr>
            <w:r>
              <w:t>Financial Analysis Techniques</w:t>
            </w:r>
          </w:p>
          <w:p w14:paraId="4ED41A70" w14:textId="17AE5030" w:rsidR="000F532D" w:rsidRDefault="000F532D" w:rsidP="000F532D">
            <w:pPr>
              <w:pStyle w:val="ListParagraph"/>
              <w:numPr>
                <w:ilvl w:val="1"/>
                <w:numId w:val="19"/>
              </w:numPr>
              <w:spacing w:line="240" w:lineRule="auto"/>
            </w:pPr>
            <w:r>
              <w:t>Inventories</w:t>
            </w:r>
          </w:p>
          <w:p w14:paraId="5ED53F2D" w14:textId="3084F602" w:rsidR="000F532D" w:rsidRDefault="000F532D" w:rsidP="000F532D">
            <w:pPr>
              <w:pStyle w:val="ListParagraph"/>
              <w:numPr>
                <w:ilvl w:val="1"/>
                <w:numId w:val="19"/>
              </w:numPr>
              <w:spacing w:line="240" w:lineRule="auto"/>
            </w:pPr>
            <w:r>
              <w:t>Long-lived Assets</w:t>
            </w:r>
          </w:p>
          <w:p w14:paraId="2D9C2B57" w14:textId="0A54FB2C" w:rsidR="000F532D" w:rsidRDefault="000F532D" w:rsidP="000F532D">
            <w:pPr>
              <w:pStyle w:val="ListParagraph"/>
              <w:numPr>
                <w:ilvl w:val="1"/>
                <w:numId w:val="19"/>
              </w:numPr>
              <w:spacing w:line="240" w:lineRule="auto"/>
            </w:pPr>
            <w:r>
              <w:t>Income Taxes</w:t>
            </w:r>
          </w:p>
          <w:p w14:paraId="6AF4ED70" w14:textId="4BED2365" w:rsidR="000F532D" w:rsidRDefault="000F532D" w:rsidP="000F532D">
            <w:pPr>
              <w:pStyle w:val="ListParagraph"/>
              <w:numPr>
                <w:ilvl w:val="1"/>
                <w:numId w:val="19"/>
              </w:numPr>
              <w:spacing w:line="240" w:lineRule="auto"/>
            </w:pPr>
            <w:r>
              <w:t>Non-Current (long-term) Liabilities</w:t>
            </w:r>
          </w:p>
          <w:p w14:paraId="6905F6B7" w14:textId="78BD85F1" w:rsidR="000F532D" w:rsidRDefault="000F532D" w:rsidP="000F532D">
            <w:pPr>
              <w:pStyle w:val="ListParagraph"/>
              <w:numPr>
                <w:ilvl w:val="1"/>
                <w:numId w:val="19"/>
              </w:numPr>
              <w:spacing w:line="240" w:lineRule="auto"/>
            </w:pPr>
            <w:r>
              <w:t>Financial Reporting Quality</w:t>
            </w:r>
          </w:p>
          <w:p w14:paraId="35FADA24" w14:textId="3F52D322" w:rsidR="000F532D" w:rsidRDefault="000F532D" w:rsidP="000F532D">
            <w:pPr>
              <w:pStyle w:val="ListParagraph"/>
              <w:numPr>
                <w:ilvl w:val="1"/>
                <w:numId w:val="19"/>
              </w:numPr>
              <w:spacing w:line="240" w:lineRule="auto"/>
            </w:pPr>
            <w:r>
              <w:t>Applications of Financial Statement Analysis</w:t>
            </w:r>
          </w:p>
          <w:p w14:paraId="42DEB8EC" w14:textId="3CB39B68" w:rsidR="000F532D" w:rsidRDefault="000F532D" w:rsidP="000F532D">
            <w:pPr>
              <w:pStyle w:val="ListParagraph"/>
              <w:numPr>
                <w:ilvl w:val="0"/>
                <w:numId w:val="19"/>
              </w:numPr>
              <w:spacing w:line="240" w:lineRule="auto"/>
            </w:pPr>
            <w:r>
              <w:t>Corporate Issuers</w:t>
            </w:r>
          </w:p>
          <w:p w14:paraId="75690F92" w14:textId="7364B57C" w:rsidR="000F532D" w:rsidRDefault="000F532D" w:rsidP="000F532D">
            <w:pPr>
              <w:pStyle w:val="ListParagraph"/>
              <w:numPr>
                <w:ilvl w:val="1"/>
                <w:numId w:val="19"/>
              </w:numPr>
              <w:spacing w:line="240" w:lineRule="auto"/>
            </w:pPr>
            <w:r>
              <w:t>Corporate Structure and Ownership</w:t>
            </w:r>
          </w:p>
          <w:p w14:paraId="21C2E535" w14:textId="6CBF03BE" w:rsidR="000F532D" w:rsidRDefault="000F532D" w:rsidP="000F532D">
            <w:pPr>
              <w:pStyle w:val="ListParagraph"/>
              <w:numPr>
                <w:ilvl w:val="1"/>
                <w:numId w:val="19"/>
              </w:numPr>
              <w:spacing w:line="240" w:lineRule="auto"/>
            </w:pPr>
            <w:r>
              <w:t>Introduction to Corporate Governance and Other ESG Considerations</w:t>
            </w:r>
          </w:p>
          <w:p w14:paraId="41EB99D2" w14:textId="05D0C3C0" w:rsidR="000F532D" w:rsidRDefault="000F532D" w:rsidP="000F532D">
            <w:pPr>
              <w:pStyle w:val="ListParagraph"/>
              <w:numPr>
                <w:ilvl w:val="1"/>
                <w:numId w:val="19"/>
              </w:numPr>
              <w:spacing w:line="240" w:lineRule="auto"/>
            </w:pPr>
            <w:r>
              <w:t>Business Models and Risks</w:t>
            </w:r>
          </w:p>
          <w:p w14:paraId="502A7389" w14:textId="0750A6A3" w:rsidR="000F532D" w:rsidRDefault="000F532D" w:rsidP="000F532D">
            <w:pPr>
              <w:pStyle w:val="ListParagraph"/>
              <w:numPr>
                <w:ilvl w:val="1"/>
                <w:numId w:val="19"/>
              </w:numPr>
              <w:spacing w:line="240" w:lineRule="auto"/>
            </w:pPr>
            <w:r>
              <w:t>Capital Investments</w:t>
            </w:r>
          </w:p>
          <w:p w14:paraId="1C5E5852" w14:textId="12B97532" w:rsidR="000F532D" w:rsidRDefault="000F532D" w:rsidP="000F532D">
            <w:pPr>
              <w:pStyle w:val="ListParagraph"/>
              <w:numPr>
                <w:ilvl w:val="1"/>
                <w:numId w:val="19"/>
              </w:numPr>
              <w:spacing w:line="240" w:lineRule="auto"/>
            </w:pPr>
            <w:r>
              <w:t>Working Capital and Liquidity</w:t>
            </w:r>
          </w:p>
          <w:p w14:paraId="5ECCC090" w14:textId="4E13C133" w:rsidR="000F532D" w:rsidRDefault="000F532D" w:rsidP="000F532D">
            <w:pPr>
              <w:pStyle w:val="ListParagraph"/>
              <w:numPr>
                <w:ilvl w:val="1"/>
                <w:numId w:val="19"/>
              </w:numPr>
              <w:spacing w:line="240" w:lineRule="auto"/>
            </w:pPr>
            <w:r>
              <w:t>Cost of Capital – Foundational Topics</w:t>
            </w:r>
          </w:p>
          <w:p w14:paraId="60C419D9" w14:textId="721F1F4B" w:rsidR="000F532D" w:rsidRDefault="000F532D" w:rsidP="000F532D">
            <w:pPr>
              <w:pStyle w:val="ListParagraph"/>
              <w:numPr>
                <w:ilvl w:val="1"/>
                <w:numId w:val="19"/>
              </w:numPr>
              <w:spacing w:line="240" w:lineRule="auto"/>
            </w:pPr>
            <w:r>
              <w:t>Capital Structure</w:t>
            </w:r>
          </w:p>
          <w:p w14:paraId="41B12913" w14:textId="7FBF9C5F" w:rsidR="000F532D" w:rsidRDefault="000F532D" w:rsidP="000F532D">
            <w:pPr>
              <w:pStyle w:val="ListParagraph"/>
              <w:numPr>
                <w:ilvl w:val="1"/>
                <w:numId w:val="19"/>
              </w:numPr>
              <w:spacing w:line="240" w:lineRule="auto"/>
            </w:pPr>
            <w:r>
              <w:t>Measures of Leverage</w:t>
            </w:r>
          </w:p>
          <w:p w14:paraId="79398D36" w14:textId="593C0CC3" w:rsidR="000F532D" w:rsidRDefault="000F532D" w:rsidP="000F532D">
            <w:pPr>
              <w:pStyle w:val="ListParagraph"/>
              <w:numPr>
                <w:ilvl w:val="0"/>
                <w:numId w:val="19"/>
              </w:numPr>
              <w:spacing w:line="240" w:lineRule="auto"/>
            </w:pPr>
            <w:r>
              <w:t>Equity Investments</w:t>
            </w:r>
          </w:p>
          <w:p w14:paraId="13A0BDEB" w14:textId="497C8943" w:rsidR="000F532D" w:rsidRDefault="000F532D" w:rsidP="000F532D">
            <w:pPr>
              <w:pStyle w:val="ListParagraph"/>
              <w:numPr>
                <w:ilvl w:val="1"/>
                <w:numId w:val="19"/>
              </w:numPr>
              <w:spacing w:line="240" w:lineRule="auto"/>
            </w:pPr>
            <w:r>
              <w:t>Market Organization and Structure</w:t>
            </w:r>
          </w:p>
          <w:p w14:paraId="186A7E99" w14:textId="5300EBBF" w:rsidR="000F532D" w:rsidRDefault="000F532D" w:rsidP="000F532D">
            <w:pPr>
              <w:pStyle w:val="ListParagraph"/>
              <w:numPr>
                <w:ilvl w:val="1"/>
                <w:numId w:val="19"/>
              </w:numPr>
              <w:spacing w:line="240" w:lineRule="auto"/>
            </w:pPr>
            <w:r>
              <w:t>Security Market Indexes</w:t>
            </w:r>
          </w:p>
          <w:p w14:paraId="5219FACC" w14:textId="70138DC6" w:rsidR="000F532D" w:rsidRDefault="000F532D" w:rsidP="000F532D">
            <w:pPr>
              <w:pStyle w:val="ListParagraph"/>
              <w:numPr>
                <w:ilvl w:val="1"/>
                <w:numId w:val="19"/>
              </w:numPr>
              <w:spacing w:line="240" w:lineRule="auto"/>
            </w:pPr>
            <w:r>
              <w:t>Market Efficiency</w:t>
            </w:r>
          </w:p>
          <w:p w14:paraId="6E70B369" w14:textId="3152A119" w:rsidR="000F532D" w:rsidRDefault="000F532D" w:rsidP="000F532D">
            <w:pPr>
              <w:pStyle w:val="ListParagraph"/>
              <w:numPr>
                <w:ilvl w:val="1"/>
                <w:numId w:val="19"/>
              </w:numPr>
              <w:spacing w:line="240" w:lineRule="auto"/>
            </w:pPr>
            <w:r>
              <w:t>Overview of Equity Securities</w:t>
            </w:r>
          </w:p>
          <w:p w14:paraId="3E4BAA03" w14:textId="70D625B0" w:rsidR="000F532D" w:rsidRDefault="000F532D" w:rsidP="000F532D">
            <w:pPr>
              <w:pStyle w:val="ListParagraph"/>
              <w:numPr>
                <w:ilvl w:val="1"/>
                <w:numId w:val="19"/>
              </w:numPr>
              <w:spacing w:line="240" w:lineRule="auto"/>
            </w:pPr>
            <w:r>
              <w:t>Introduction to Industry and Company Analysis</w:t>
            </w:r>
          </w:p>
          <w:p w14:paraId="1A036735" w14:textId="43BF7304" w:rsidR="000F532D" w:rsidRDefault="000F532D" w:rsidP="000F532D">
            <w:pPr>
              <w:pStyle w:val="ListParagraph"/>
              <w:numPr>
                <w:ilvl w:val="1"/>
                <w:numId w:val="19"/>
              </w:numPr>
              <w:spacing w:line="240" w:lineRule="auto"/>
            </w:pPr>
            <w:r>
              <w:t>Equity Valuation: Concepts and Basic Tools</w:t>
            </w:r>
          </w:p>
          <w:p w14:paraId="2517174D" w14:textId="392E4042" w:rsidR="000F532D" w:rsidRDefault="000F532D" w:rsidP="000F532D">
            <w:pPr>
              <w:pStyle w:val="ListParagraph"/>
              <w:numPr>
                <w:ilvl w:val="0"/>
                <w:numId w:val="19"/>
              </w:numPr>
              <w:spacing w:line="240" w:lineRule="auto"/>
            </w:pPr>
            <w:r>
              <w:t>Fixed Income</w:t>
            </w:r>
          </w:p>
          <w:p w14:paraId="1E0CE117" w14:textId="7588BEEF" w:rsidR="000F532D" w:rsidRDefault="000F532D" w:rsidP="000F532D">
            <w:pPr>
              <w:pStyle w:val="ListParagraph"/>
              <w:numPr>
                <w:ilvl w:val="1"/>
                <w:numId w:val="19"/>
              </w:numPr>
              <w:spacing w:line="240" w:lineRule="auto"/>
            </w:pPr>
            <w:r>
              <w:t>Fixed Income Securities: Defining Elements</w:t>
            </w:r>
          </w:p>
          <w:p w14:paraId="36FD758A" w14:textId="0C708092" w:rsidR="000F532D" w:rsidRDefault="000F532D" w:rsidP="000F532D">
            <w:pPr>
              <w:pStyle w:val="ListParagraph"/>
              <w:numPr>
                <w:ilvl w:val="1"/>
                <w:numId w:val="19"/>
              </w:numPr>
              <w:spacing w:line="240" w:lineRule="auto"/>
            </w:pPr>
            <w:r>
              <w:t>Fixed Income Markets: Issuance, Trading, and Funding</w:t>
            </w:r>
          </w:p>
          <w:p w14:paraId="697A54C6" w14:textId="09BCC5AA" w:rsidR="000F532D" w:rsidRDefault="000F532D" w:rsidP="000F532D">
            <w:pPr>
              <w:pStyle w:val="ListParagraph"/>
              <w:numPr>
                <w:ilvl w:val="1"/>
                <w:numId w:val="19"/>
              </w:numPr>
              <w:spacing w:line="240" w:lineRule="auto"/>
            </w:pPr>
            <w:r>
              <w:t>Introduction to Fixed Income Valuation</w:t>
            </w:r>
          </w:p>
          <w:p w14:paraId="1F7DBEA7" w14:textId="2D839353" w:rsidR="000F532D" w:rsidRDefault="000F532D" w:rsidP="000F532D">
            <w:pPr>
              <w:pStyle w:val="ListParagraph"/>
              <w:numPr>
                <w:ilvl w:val="1"/>
                <w:numId w:val="19"/>
              </w:numPr>
              <w:spacing w:line="240" w:lineRule="auto"/>
            </w:pPr>
            <w:r>
              <w:t>Introduction to Asset Backed Securities</w:t>
            </w:r>
          </w:p>
          <w:p w14:paraId="3FF41E9F" w14:textId="2F177A21" w:rsidR="000F532D" w:rsidRDefault="000F532D" w:rsidP="000F532D">
            <w:pPr>
              <w:pStyle w:val="ListParagraph"/>
              <w:numPr>
                <w:ilvl w:val="1"/>
                <w:numId w:val="19"/>
              </w:numPr>
              <w:spacing w:line="240" w:lineRule="auto"/>
            </w:pPr>
            <w:r>
              <w:t>Understanding Fixed Income Risk and Return</w:t>
            </w:r>
          </w:p>
          <w:p w14:paraId="651E8F89" w14:textId="122CA5A9" w:rsidR="000F532D" w:rsidRDefault="000F532D" w:rsidP="000F532D">
            <w:pPr>
              <w:pStyle w:val="ListParagraph"/>
              <w:numPr>
                <w:ilvl w:val="1"/>
                <w:numId w:val="19"/>
              </w:numPr>
              <w:spacing w:line="240" w:lineRule="auto"/>
            </w:pPr>
            <w:r>
              <w:t>Fundamentals of Credit Analysis</w:t>
            </w:r>
          </w:p>
          <w:p w14:paraId="74CC2025" w14:textId="14E194CF" w:rsidR="000F532D" w:rsidRDefault="000F532D" w:rsidP="000F532D">
            <w:pPr>
              <w:pStyle w:val="ListParagraph"/>
              <w:numPr>
                <w:ilvl w:val="0"/>
                <w:numId w:val="19"/>
              </w:numPr>
              <w:spacing w:line="240" w:lineRule="auto"/>
            </w:pPr>
            <w:r>
              <w:t>Derivatives</w:t>
            </w:r>
          </w:p>
          <w:p w14:paraId="555A6C42" w14:textId="2D41FCE1" w:rsidR="000F532D" w:rsidRDefault="000F532D" w:rsidP="000F532D">
            <w:pPr>
              <w:pStyle w:val="ListParagraph"/>
              <w:numPr>
                <w:ilvl w:val="1"/>
                <w:numId w:val="19"/>
              </w:numPr>
              <w:spacing w:line="240" w:lineRule="auto"/>
            </w:pPr>
            <w:r>
              <w:t>Derivative Markets and Instruments</w:t>
            </w:r>
          </w:p>
          <w:p w14:paraId="25272E34" w14:textId="4D52D5F5" w:rsidR="000F532D" w:rsidRDefault="000F532D" w:rsidP="000F532D">
            <w:pPr>
              <w:pStyle w:val="ListParagraph"/>
              <w:numPr>
                <w:ilvl w:val="1"/>
                <w:numId w:val="19"/>
              </w:numPr>
              <w:spacing w:line="240" w:lineRule="auto"/>
            </w:pPr>
            <w:r>
              <w:t>Forward Commitment and Contingent Claim Futures and Instruments</w:t>
            </w:r>
          </w:p>
          <w:p w14:paraId="1E68CDB2" w14:textId="63285A71" w:rsidR="000F532D" w:rsidRDefault="000F532D" w:rsidP="000F532D">
            <w:pPr>
              <w:pStyle w:val="ListParagraph"/>
              <w:numPr>
                <w:ilvl w:val="1"/>
                <w:numId w:val="19"/>
              </w:numPr>
              <w:spacing w:line="240" w:lineRule="auto"/>
            </w:pPr>
            <w:r>
              <w:t>Derivative Benefits, Risks, and Issuer and Investor Uses</w:t>
            </w:r>
          </w:p>
          <w:p w14:paraId="2D389E56" w14:textId="1A7B8159" w:rsidR="000F532D" w:rsidRDefault="000F532D" w:rsidP="000F532D">
            <w:pPr>
              <w:pStyle w:val="ListParagraph"/>
              <w:numPr>
                <w:ilvl w:val="1"/>
                <w:numId w:val="19"/>
              </w:numPr>
              <w:spacing w:line="240" w:lineRule="auto"/>
            </w:pPr>
            <w:r>
              <w:t>Arbitrage, Replication, and the Cost of Carry in Pricing Derivatives</w:t>
            </w:r>
          </w:p>
          <w:p w14:paraId="0A405876" w14:textId="1054BEA2" w:rsidR="000F532D" w:rsidRDefault="000F532D" w:rsidP="000F532D">
            <w:pPr>
              <w:pStyle w:val="ListParagraph"/>
              <w:numPr>
                <w:ilvl w:val="1"/>
                <w:numId w:val="19"/>
              </w:numPr>
              <w:spacing w:line="240" w:lineRule="auto"/>
            </w:pPr>
            <w:r>
              <w:t>Pricing and Valuation of Forward Contracts and for an Underlying with Varying Maturities</w:t>
            </w:r>
          </w:p>
          <w:p w14:paraId="1B873044" w14:textId="6E4D0C92" w:rsidR="000F532D" w:rsidRDefault="000F532D" w:rsidP="000F532D">
            <w:pPr>
              <w:pStyle w:val="ListParagraph"/>
              <w:numPr>
                <w:ilvl w:val="1"/>
                <w:numId w:val="19"/>
              </w:numPr>
              <w:spacing w:line="240" w:lineRule="auto"/>
            </w:pPr>
            <w:r>
              <w:t>Pricing and Valuation of Futures Contracts</w:t>
            </w:r>
          </w:p>
          <w:p w14:paraId="11352B4C" w14:textId="0C505D12" w:rsidR="000F532D" w:rsidRDefault="000F532D" w:rsidP="000F532D">
            <w:pPr>
              <w:pStyle w:val="ListParagraph"/>
              <w:numPr>
                <w:ilvl w:val="1"/>
                <w:numId w:val="19"/>
              </w:numPr>
              <w:spacing w:line="240" w:lineRule="auto"/>
            </w:pPr>
            <w:r>
              <w:t>Pricing and Valuation of Interest Rates and Other Swaps</w:t>
            </w:r>
          </w:p>
          <w:p w14:paraId="1B6BDF8D" w14:textId="75DEE903" w:rsidR="000F532D" w:rsidRDefault="000F532D" w:rsidP="000F532D">
            <w:pPr>
              <w:pStyle w:val="ListParagraph"/>
              <w:numPr>
                <w:ilvl w:val="1"/>
                <w:numId w:val="19"/>
              </w:numPr>
              <w:spacing w:line="240" w:lineRule="auto"/>
            </w:pPr>
            <w:r>
              <w:t>Pricing and Valuation of Options</w:t>
            </w:r>
          </w:p>
          <w:p w14:paraId="64615832" w14:textId="3BFFC065" w:rsidR="000F532D" w:rsidRDefault="000F532D" w:rsidP="000F532D">
            <w:pPr>
              <w:pStyle w:val="ListParagraph"/>
              <w:numPr>
                <w:ilvl w:val="1"/>
                <w:numId w:val="19"/>
              </w:numPr>
              <w:spacing w:line="240" w:lineRule="auto"/>
            </w:pPr>
            <w:r>
              <w:t>Option replication Using Put-Call Parity</w:t>
            </w:r>
          </w:p>
          <w:p w14:paraId="495572AA" w14:textId="3E2F8B56" w:rsidR="000F532D" w:rsidRDefault="000F532D" w:rsidP="000F532D">
            <w:pPr>
              <w:pStyle w:val="ListParagraph"/>
              <w:numPr>
                <w:ilvl w:val="1"/>
                <w:numId w:val="19"/>
              </w:numPr>
              <w:spacing w:line="240" w:lineRule="auto"/>
            </w:pPr>
            <w:r>
              <w:t>Binomial Option Pricing</w:t>
            </w:r>
          </w:p>
          <w:p w14:paraId="63E42BE8" w14:textId="79EC3E19" w:rsidR="000F532D" w:rsidRDefault="000F532D" w:rsidP="000F532D">
            <w:pPr>
              <w:pStyle w:val="ListParagraph"/>
              <w:numPr>
                <w:ilvl w:val="0"/>
                <w:numId w:val="19"/>
              </w:numPr>
              <w:spacing w:line="240" w:lineRule="auto"/>
            </w:pPr>
            <w:r>
              <w:t>Alternative Investments</w:t>
            </w:r>
          </w:p>
          <w:p w14:paraId="5298F58A" w14:textId="4E74DD67" w:rsidR="000F532D" w:rsidRDefault="000F532D" w:rsidP="000F532D">
            <w:pPr>
              <w:pStyle w:val="ListParagraph"/>
              <w:numPr>
                <w:ilvl w:val="1"/>
                <w:numId w:val="19"/>
              </w:numPr>
              <w:spacing w:line="240" w:lineRule="auto"/>
            </w:pPr>
            <w:r>
              <w:t>Categories, Characteristics, and Compensation Structures of Alternative Investments</w:t>
            </w:r>
          </w:p>
          <w:p w14:paraId="6A5488B3" w14:textId="26B4EA84" w:rsidR="000F532D" w:rsidRDefault="000F532D" w:rsidP="000F532D">
            <w:pPr>
              <w:pStyle w:val="ListParagraph"/>
              <w:numPr>
                <w:ilvl w:val="1"/>
                <w:numId w:val="19"/>
              </w:numPr>
              <w:spacing w:line="240" w:lineRule="auto"/>
            </w:pPr>
            <w:r>
              <w:lastRenderedPageBreak/>
              <w:t>Performance Calculation and Appraisal of Alternative Investments</w:t>
            </w:r>
          </w:p>
          <w:p w14:paraId="23376E6C" w14:textId="70DAE060" w:rsidR="000F532D" w:rsidRDefault="000F532D" w:rsidP="000F532D">
            <w:pPr>
              <w:pStyle w:val="ListParagraph"/>
              <w:numPr>
                <w:ilvl w:val="1"/>
                <w:numId w:val="19"/>
              </w:numPr>
              <w:spacing w:line="240" w:lineRule="auto"/>
            </w:pPr>
            <w:r>
              <w:t>Private Capital, Real Estate, Infrastructure, Natural Resources, and Hedge Funds</w:t>
            </w:r>
          </w:p>
          <w:p w14:paraId="57B24ACD" w14:textId="59F9BBBD" w:rsidR="000F532D" w:rsidRDefault="000F532D" w:rsidP="000F532D">
            <w:pPr>
              <w:pStyle w:val="ListParagraph"/>
              <w:numPr>
                <w:ilvl w:val="0"/>
                <w:numId w:val="19"/>
              </w:numPr>
              <w:spacing w:line="240" w:lineRule="auto"/>
            </w:pPr>
            <w:r>
              <w:t>Portfolio Management</w:t>
            </w:r>
          </w:p>
          <w:p w14:paraId="1F77C6E6" w14:textId="248C1417" w:rsidR="000F532D" w:rsidRDefault="000F532D" w:rsidP="000F532D">
            <w:pPr>
              <w:pStyle w:val="ListParagraph"/>
              <w:numPr>
                <w:ilvl w:val="1"/>
                <w:numId w:val="19"/>
              </w:numPr>
              <w:spacing w:line="240" w:lineRule="auto"/>
            </w:pPr>
            <w:r>
              <w:t>Portfolio Management: An Overview</w:t>
            </w:r>
          </w:p>
          <w:p w14:paraId="5FEE6F0A" w14:textId="70B20809" w:rsidR="000F532D" w:rsidRDefault="000F532D" w:rsidP="000F532D">
            <w:pPr>
              <w:pStyle w:val="ListParagraph"/>
              <w:numPr>
                <w:ilvl w:val="1"/>
                <w:numId w:val="19"/>
              </w:numPr>
              <w:spacing w:line="240" w:lineRule="auto"/>
            </w:pPr>
            <w:r>
              <w:t>Portfolio Risk and Return: Part I</w:t>
            </w:r>
          </w:p>
          <w:p w14:paraId="7447102F" w14:textId="32B13F20" w:rsidR="000F532D" w:rsidRDefault="000F532D" w:rsidP="000F532D">
            <w:pPr>
              <w:pStyle w:val="ListParagraph"/>
              <w:numPr>
                <w:ilvl w:val="1"/>
                <w:numId w:val="19"/>
              </w:numPr>
              <w:spacing w:line="240" w:lineRule="auto"/>
            </w:pPr>
            <w:r>
              <w:t>Portfolio Risk and Return: Part II</w:t>
            </w:r>
          </w:p>
          <w:p w14:paraId="379C3B73" w14:textId="53A99480" w:rsidR="000F532D" w:rsidRDefault="000F532D" w:rsidP="000F532D">
            <w:pPr>
              <w:pStyle w:val="ListParagraph"/>
              <w:numPr>
                <w:ilvl w:val="1"/>
                <w:numId w:val="19"/>
              </w:numPr>
              <w:spacing w:line="240" w:lineRule="auto"/>
            </w:pPr>
            <w:r>
              <w:t>Basics of Portfolio Planning and Construction</w:t>
            </w:r>
          </w:p>
          <w:p w14:paraId="07A8FC83" w14:textId="676558BC" w:rsidR="000F532D" w:rsidRDefault="000F532D" w:rsidP="000F532D">
            <w:pPr>
              <w:pStyle w:val="ListParagraph"/>
              <w:numPr>
                <w:ilvl w:val="1"/>
                <w:numId w:val="19"/>
              </w:numPr>
              <w:spacing w:line="240" w:lineRule="auto"/>
            </w:pPr>
            <w:r>
              <w:t>The Behavioral Biases of Individuals</w:t>
            </w:r>
          </w:p>
          <w:p w14:paraId="3AABFC43" w14:textId="71204E19" w:rsidR="000F532D" w:rsidRDefault="000F532D" w:rsidP="000F532D">
            <w:pPr>
              <w:pStyle w:val="ListParagraph"/>
              <w:numPr>
                <w:ilvl w:val="1"/>
                <w:numId w:val="19"/>
              </w:numPr>
              <w:spacing w:line="240" w:lineRule="auto"/>
            </w:pPr>
            <w:r>
              <w:t>Introduction to Risk Management</w:t>
            </w:r>
          </w:p>
          <w:p w14:paraId="4B5A992E" w14:textId="4EC00323" w:rsidR="000F532D" w:rsidRDefault="000F532D" w:rsidP="000F532D">
            <w:pPr>
              <w:pStyle w:val="ListParagraph"/>
              <w:numPr>
                <w:ilvl w:val="1"/>
                <w:numId w:val="19"/>
              </w:numPr>
              <w:spacing w:line="240" w:lineRule="auto"/>
            </w:pPr>
            <w:r>
              <w:t>Technical Analysis</w:t>
            </w:r>
          </w:p>
          <w:p w14:paraId="73AB92DA" w14:textId="2F9FE3F7" w:rsidR="000F532D" w:rsidRDefault="000F532D" w:rsidP="000F532D">
            <w:pPr>
              <w:pStyle w:val="ListParagraph"/>
              <w:numPr>
                <w:ilvl w:val="1"/>
                <w:numId w:val="19"/>
              </w:numPr>
              <w:spacing w:line="240" w:lineRule="auto"/>
            </w:pPr>
            <w:r>
              <w:t>Fintech in Investment Management</w:t>
            </w:r>
          </w:p>
          <w:p w14:paraId="2EC3DB7F" w14:textId="2EEB4039" w:rsidR="000F532D" w:rsidRDefault="000F532D" w:rsidP="000F532D">
            <w:pPr>
              <w:pStyle w:val="ListParagraph"/>
              <w:numPr>
                <w:ilvl w:val="0"/>
                <w:numId w:val="19"/>
              </w:numPr>
              <w:spacing w:line="240" w:lineRule="auto"/>
            </w:pPr>
            <w:r>
              <w:t>Ethical and Professional Standards</w:t>
            </w:r>
          </w:p>
          <w:p w14:paraId="61FF7430" w14:textId="615435D5" w:rsidR="000F532D" w:rsidRDefault="000F532D" w:rsidP="000F532D">
            <w:pPr>
              <w:pStyle w:val="ListParagraph"/>
              <w:numPr>
                <w:ilvl w:val="1"/>
                <w:numId w:val="19"/>
              </w:numPr>
              <w:spacing w:line="240" w:lineRule="auto"/>
            </w:pPr>
            <w:r>
              <w:t>Ethics and Trust in the Investment Profession</w:t>
            </w:r>
          </w:p>
          <w:p w14:paraId="4084E7A3" w14:textId="7AB6DBBB" w:rsidR="000F532D" w:rsidRDefault="000F532D" w:rsidP="000F532D">
            <w:pPr>
              <w:pStyle w:val="ListParagraph"/>
              <w:numPr>
                <w:ilvl w:val="1"/>
                <w:numId w:val="19"/>
              </w:numPr>
              <w:spacing w:line="240" w:lineRule="auto"/>
            </w:pPr>
            <w:r>
              <w:t>Code of Ethics and Standards of Professional Conduct</w:t>
            </w:r>
          </w:p>
          <w:p w14:paraId="4AF7E5C6" w14:textId="7A7A0B8C" w:rsidR="000F532D" w:rsidRDefault="000F532D" w:rsidP="000F532D">
            <w:pPr>
              <w:pStyle w:val="ListParagraph"/>
              <w:numPr>
                <w:ilvl w:val="1"/>
                <w:numId w:val="19"/>
              </w:numPr>
              <w:spacing w:line="240" w:lineRule="auto"/>
            </w:pPr>
            <w:r>
              <w:t>Guidance for Standards I-VII</w:t>
            </w:r>
          </w:p>
          <w:p w14:paraId="7A6FEB6C" w14:textId="5DDF037B" w:rsidR="000F532D" w:rsidRDefault="000F532D" w:rsidP="000F532D">
            <w:pPr>
              <w:pStyle w:val="ListParagraph"/>
              <w:numPr>
                <w:ilvl w:val="1"/>
                <w:numId w:val="19"/>
              </w:numPr>
              <w:spacing w:line="240" w:lineRule="auto"/>
            </w:pPr>
            <w:r>
              <w:t>Introduction to the Global Investment Performance Standards (GIPS)</w:t>
            </w:r>
          </w:p>
          <w:p w14:paraId="34EDD645" w14:textId="72BDB808" w:rsidR="000F532D" w:rsidRDefault="000F532D" w:rsidP="000F532D">
            <w:pPr>
              <w:pStyle w:val="ListParagraph"/>
              <w:numPr>
                <w:ilvl w:val="1"/>
                <w:numId w:val="19"/>
              </w:numPr>
              <w:spacing w:line="240" w:lineRule="auto"/>
            </w:pPr>
            <w:r>
              <w:t>Ethics Application</w:t>
            </w:r>
          </w:p>
          <w:p w14:paraId="65006239" w14:textId="77777777" w:rsidR="000F532D" w:rsidRDefault="000F532D" w:rsidP="000F532D">
            <w:pPr>
              <w:spacing w:line="240" w:lineRule="auto"/>
            </w:pPr>
          </w:p>
          <w:p w14:paraId="6B2C7A47" w14:textId="0CB747C2" w:rsidR="000F532D" w:rsidRPr="00C710E0" w:rsidRDefault="000F532D" w:rsidP="000F532D">
            <w:pPr>
              <w:spacing w:line="240" w:lineRule="auto"/>
              <w:ind w:left="1080"/>
            </w:pPr>
          </w:p>
        </w:tc>
      </w:tr>
    </w:tbl>
    <w:p w14:paraId="5AD8CBFC" w14:textId="77777777" w:rsidR="00514E2C" w:rsidRPr="00C710E0" w:rsidRDefault="00514E2C" w:rsidP="00514E2C"/>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9"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5"/>
        <w:gridCol w:w="3250"/>
        <w:gridCol w:w="3188"/>
        <w:gridCol w:w="1177"/>
      </w:tblGrid>
      <w:tr w:rsidR="00115A68" w:rsidRPr="00C710E0" w14:paraId="67436BB2" w14:textId="77777777" w:rsidTr="0041487A">
        <w:trPr>
          <w:cantSplit/>
          <w:tblHeader/>
        </w:trPr>
        <w:tc>
          <w:tcPr>
            <w:tcW w:w="3165" w:type="dxa"/>
            <w:vAlign w:val="center"/>
          </w:tcPr>
          <w:p w14:paraId="739386E3" w14:textId="77777777" w:rsidR="00115A68" w:rsidRPr="00C710E0" w:rsidRDefault="00115A68" w:rsidP="0015571B">
            <w:pPr>
              <w:pStyle w:val="Heading5"/>
              <w:jc w:val="center"/>
            </w:pPr>
            <w:r w:rsidRPr="00C710E0">
              <w:t>Name</w:t>
            </w:r>
          </w:p>
        </w:tc>
        <w:tc>
          <w:tcPr>
            <w:tcW w:w="3250" w:type="dxa"/>
            <w:vAlign w:val="center"/>
          </w:tcPr>
          <w:p w14:paraId="7DAAAD1E" w14:textId="77777777" w:rsidR="00115A68" w:rsidRPr="00C710E0" w:rsidRDefault="00115A68" w:rsidP="0015571B">
            <w:pPr>
              <w:pStyle w:val="Heading5"/>
              <w:jc w:val="center"/>
            </w:pPr>
            <w:r w:rsidRPr="00C710E0">
              <w:t>Position/affiliation</w:t>
            </w:r>
          </w:p>
        </w:tc>
        <w:bookmarkStart w:id="28" w:name="_Signature"/>
        <w:bookmarkEnd w:id="28"/>
        <w:tc>
          <w:tcPr>
            <w:tcW w:w="3188"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7"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41487A">
        <w:trPr>
          <w:cantSplit/>
          <w:trHeight w:val="489"/>
        </w:trPr>
        <w:tc>
          <w:tcPr>
            <w:tcW w:w="3165" w:type="dxa"/>
            <w:vAlign w:val="center"/>
          </w:tcPr>
          <w:p w14:paraId="20877218" w14:textId="476105AB" w:rsidR="00115A68" w:rsidRPr="00C710E0" w:rsidRDefault="003866BE" w:rsidP="0015571B">
            <w:pPr>
              <w:spacing w:line="240" w:lineRule="auto"/>
            </w:pPr>
            <w:r>
              <w:t xml:space="preserve">Abbas </w:t>
            </w:r>
            <w:proofErr w:type="spellStart"/>
            <w:r>
              <w:t>Kazemi</w:t>
            </w:r>
            <w:proofErr w:type="spellEnd"/>
          </w:p>
        </w:tc>
        <w:tc>
          <w:tcPr>
            <w:tcW w:w="3250" w:type="dxa"/>
            <w:vAlign w:val="center"/>
          </w:tcPr>
          <w:p w14:paraId="0730C1D0" w14:textId="7B27F702" w:rsidR="00115A68" w:rsidRPr="00C710E0" w:rsidRDefault="003866BE" w:rsidP="0015571B">
            <w:pPr>
              <w:spacing w:line="240" w:lineRule="auto"/>
            </w:pPr>
            <w:r>
              <w:t>Professor, Finance</w:t>
            </w:r>
          </w:p>
        </w:tc>
        <w:tc>
          <w:tcPr>
            <w:tcW w:w="3188" w:type="dxa"/>
            <w:vAlign w:val="center"/>
          </w:tcPr>
          <w:p w14:paraId="7487F9CA" w14:textId="1A40085B" w:rsidR="00115A68" w:rsidRPr="00C710E0" w:rsidRDefault="008912E9" w:rsidP="0015571B">
            <w:pPr>
              <w:spacing w:line="240" w:lineRule="auto"/>
            </w:pPr>
            <w:r>
              <w:t>*Approved by email</w:t>
            </w:r>
          </w:p>
        </w:tc>
        <w:tc>
          <w:tcPr>
            <w:tcW w:w="1177" w:type="dxa"/>
            <w:vAlign w:val="center"/>
          </w:tcPr>
          <w:p w14:paraId="1F86A130" w14:textId="4CA8A8B1" w:rsidR="00115A68" w:rsidRPr="00C710E0" w:rsidRDefault="008912E9" w:rsidP="0015571B">
            <w:pPr>
              <w:spacing w:line="240" w:lineRule="auto"/>
            </w:pPr>
            <w:r>
              <w:t>5/2/2024</w:t>
            </w:r>
          </w:p>
        </w:tc>
      </w:tr>
      <w:tr w:rsidR="00115A68" w:rsidRPr="00C710E0" w14:paraId="3308AC9C" w14:textId="77777777" w:rsidTr="0041487A">
        <w:trPr>
          <w:cantSplit/>
          <w:trHeight w:val="489"/>
        </w:trPr>
        <w:tc>
          <w:tcPr>
            <w:tcW w:w="3165" w:type="dxa"/>
            <w:vAlign w:val="center"/>
          </w:tcPr>
          <w:p w14:paraId="2B0991B7" w14:textId="45D5DFAC" w:rsidR="00115A68" w:rsidRPr="00C710E0" w:rsidRDefault="003866BE" w:rsidP="0015571B">
            <w:pPr>
              <w:spacing w:line="240" w:lineRule="auto"/>
            </w:pPr>
            <w:r>
              <w:t>Kemal Saatcioglu</w:t>
            </w:r>
          </w:p>
        </w:tc>
        <w:tc>
          <w:tcPr>
            <w:tcW w:w="3250" w:type="dxa"/>
            <w:vAlign w:val="center"/>
          </w:tcPr>
          <w:p w14:paraId="2927DBCB" w14:textId="7025D777" w:rsidR="00115A68" w:rsidRPr="00C710E0" w:rsidRDefault="003866BE" w:rsidP="0015571B">
            <w:pPr>
              <w:spacing w:line="240" w:lineRule="auto"/>
            </w:pPr>
            <w:r>
              <w:t>Chair, Economics and Finance</w:t>
            </w:r>
          </w:p>
        </w:tc>
        <w:tc>
          <w:tcPr>
            <w:tcW w:w="3188" w:type="dxa"/>
            <w:vAlign w:val="center"/>
          </w:tcPr>
          <w:p w14:paraId="7927CB11" w14:textId="099D8E87" w:rsidR="00115A68" w:rsidRPr="003866BE" w:rsidRDefault="003866BE" w:rsidP="0015571B">
            <w:pPr>
              <w:spacing w:line="240" w:lineRule="auto"/>
              <w:rPr>
                <w:rFonts w:ascii="Lucida Handwriting" w:hAnsi="Lucida Handwriting"/>
              </w:rPr>
            </w:pPr>
            <w:r>
              <w:rPr>
                <w:rFonts w:ascii="Lucida Handwriting" w:hAnsi="Lucida Handwriting"/>
              </w:rPr>
              <w:t>Kemal Saatcioglu</w:t>
            </w:r>
          </w:p>
        </w:tc>
        <w:tc>
          <w:tcPr>
            <w:tcW w:w="1177" w:type="dxa"/>
            <w:vAlign w:val="center"/>
          </w:tcPr>
          <w:p w14:paraId="06A64098" w14:textId="02DCAF81" w:rsidR="00115A68" w:rsidRPr="00C710E0" w:rsidRDefault="003866BE" w:rsidP="0015571B">
            <w:pPr>
              <w:spacing w:line="240" w:lineRule="auto"/>
            </w:pPr>
            <w:r>
              <w:t>5/1/2024</w:t>
            </w:r>
          </w:p>
        </w:tc>
      </w:tr>
      <w:tr w:rsidR="00115A68" w:rsidRPr="00C710E0" w14:paraId="5FB4CB46" w14:textId="77777777" w:rsidTr="0041487A">
        <w:trPr>
          <w:cantSplit/>
          <w:trHeight w:val="489"/>
        </w:trPr>
        <w:tc>
          <w:tcPr>
            <w:tcW w:w="3165" w:type="dxa"/>
            <w:vAlign w:val="center"/>
          </w:tcPr>
          <w:p w14:paraId="6ED2A8A6" w14:textId="4678AC01" w:rsidR="00115A68" w:rsidRPr="00C710E0" w:rsidRDefault="003866BE" w:rsidP="0015571B">
            <w:pPr>
              <w:spacing w:line="240" w:lineRule="auto"/>
            </w:pPr>
            <w:r>
              <w:t>Marianne Raimondo</w:t>
            </w:r>
          </w:p>
        </w:tc>
        <w:tc>
          <w:tcPr>
            <w:tcW w:w="3250" w:type="dxa"/>
            <w:vAlign w:val="center"/>
          </w:tcPr>
          <w:p w14:paraId="229CC930" w14:textId="3DDDF546" w:rsidR="00115A68" w:rsidRPr="00C710E0" w:rsidRDefault="003866BE" w:rsidP="0015571B">
            <w:pPr>
              <w:spacing w:line="240" w:lineRule="auto"/>
            </w:pPr>
            <w:r>
              <w:t>Dean, School of Business</w:t>
            </w:r>
          </w:p>
        </w:tc>
        <w:tc>
          <w:tcPr>
            <w:tcW w:w="3188" w:type="dxa"/>
            <w:vAlign w:val="center"/>
          </w:tcPr>
          <w:p w14:paraId="73DF0B07" w14:textId="59183602" w:rsidR="00115A68" w:rsidRPr="00C710E0" w:rsidRDefault="008912E9" w:rsidP="0015571B">
            <w:pPr>
              <w:spacing w:line="240" w:lineRule="auto"/>
            </w:pPr>
            <w:r>
              <w:t>*Approved by email</w:t>
            </w:r>
          </w:p>
        </w:tc>
        <w:tc>
          <w:tcPr>
            <w:tcW w:w="1177" w:type="dxa"/>
            <w:vAlign w:val="center"/>
          </w:tcPr>
          <w:p w14:paraId="4EB70E84" w14:textId="234416FA" w:rsidR="00115A68" w:rsidRPr="00C710E0" w:rsidRDefault="008912E9" w:rsidP="0015571B">
            <w:pPr>
              <w:spacing w:line="240" w:lineRule="auto"/>
            </w:pPr>
            <w:r>
              <w:t>5/1/2024</w:t>
            </w:r>
          </w:p>
        </w:tc>
      </w:tr>
    </w:tbl>
    <w:p w14:paraId="35E716CB" w14:textId="77777777" w:rsidR="00115A68" w:rsidRPr="00C710E0" w:rsidRDefault="00115A68" w:rsidP="00115A68">
      <w:pPr>
        <w:pStyle w:val="Heading5"/>
      </w:pPr>
    </w:p>
    <w:p w14:paraId="329B6D81" w14:textId="6BE37200" w:rsidR="00F64260" w:rsidRPr="001A37FB" w:rsidRDefault="00FA3E6A" w:rsidP="001B06D9">
      <w:pPr>
        <w:pStyle w:val="Heading5"/>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 xml:space="preserve">IMPACTED BY THE PROPOSAL. </w:t>
      </w:r>
    </w:p>
    <w:sectPr w:rsidR="00F64260" w:rsidRPr="001A37FB" w:rsidSect="0021767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F178" w14:textId="77777777" w:rsidR="00217675" w:rsidRDefault="00217675" w:rsidP="00FA78CA">
      <w:pPr>
        <w:spacing w:line="240" w:lineRule="auto"/>
      </w:pPr>
      <w:r>
        <w:separator/>
      </w:r>
    </w:p>
  </w:endnote>
  <w:endnote w:type="continuationSeparator" w:id="0">
    <w:p w14:paraId="7D31F529" w14:textId="77777777" w:rsidR="00217675" w:rsidRDefault="00217675" w:rsidP="00FA78CA">
      <w:pPr>
        <w:spacing w:line="240" w:lineRule="auto"/>
      </w:pPr>
      <w:r>
        <w:continuationSeparator/>
      </w:r>
    </w:p>
  </w:endnote>
  <w:endnote w:type="continuationNotice" w:id="1">
    <w:p w14:paraId="43B406C6" w14:textId="77777777" w:rsidR="00217675" w:rsidRDefault="002176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Handwriting">
    <w:panose1 w:val="03010101010101010101"/>
    <w:charset w:val="4D"/>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AC20" w14:textId="77777777" w:rsidR="00217675" w:rsidRDefault="00217675" w:rsidP="00FA78CA">
      <w:pPr>
        <w:spacing w:line="240" w:lineRule="auto"/>
      </w:pPr>
      <w:r>
        <w:separator/>
      </w:r>
    </w:p>
  </w:footnote>
  <w:footnote w:type="continuationSeparator" w:id="0">
    <w:p w14:paraId="34326DFE" w14:textId="77777777" w:rsidR="00217675" w:rsidRDefault="00217675" w:rsidP="00FA78CA">
      <w:pPr>
        <w:spacing w:line="240" w:lineRule="auto"/>
      </w:pPr>
      <w:r>
        <w:continuationSeparator/>
      </w:r>
    </w:p>
  </w:footnote>
  <w:footnote w:type="continuationNotice" w:id="1">
    <w:p w14:paraId="10B96B1D" w14:textId="77777777" w:rsidR="00217675" w:rsidRDefault="002176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56426956"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DE1148">
      <w:rPr>
        <w:color w:val="4F6228"/>
      </w:rPr>
      <w:t>23-24-153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DE1148">
      <w:rPr>
        <w:color w:val="4F6228"/>
      </w:rPr>
      <w:t>5/2/2024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457BC9"/>
    <w:multiLevelType w:val="hybridMultilevel"/>
    <w:tmpl w:val="DB9A5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C1614"/>
    <w:multiLevelType w:val="hybridMultilevel"/>
    <w:tmpl w:val="4E74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BC15A6"/>
    <w:multiLevelType w:val="hybridMultilevel"/>
    <w:tmpl w:val="9E3496B6"/>
    <w:lvl w:ilvl="0" w:tplc="07EC47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4"/>
  </w:num>
  <w:num w:numId="2" w16cid:durableId="1543638991">
    <w:abstractNumId w:val="5"/>
  </w:num>
  <w:num w:numId="3" w16cid:durableId="1284114923">
    <w:abstractNumId w:val="12"/>
  </w:num>
  <w:num w:numId="4" w16cid:durableId="1581404884">
    <w:abstractNumId w:val="2"/>
  </w:num>
  <w:num w:numId="5" w16cid:durableId="1450467588">
    <w:abstractNumId w:val="8"/>
  </w:num>
  <w:num w:numId="6" w16cid:durableId="1751152022">
    <w:abstractNumId w:val="17"/>
  </w:num>
  <w:num w:numId="7" w16cid:durableId="393967869">
    <w:abstractNumId w:val="3"/>
  </w:num>
  <w:num w:numId="8" w16cid:durableId="1448694163">
    <w:abstractNumId w:val="11"/>
  </w:num>
  <w:num w:numId="9" w16cid:durableId="1993410677">
    <w:abstractNumId w:val="13"/>
  </w:num>
  <w:num w:numId="10" w16cid:durableId="399333851">
    <w:abstractNumId w:val="6"/>
  </w:num>
  <w:num w:numId="11" w16cid:durableId="783311046">
    <w:abstractNumId w:val="18"/>
  </w:num>
  <w:num w:numId="12" w16cid:durableId="1064791648">
    <w:abstractNumId w:val="10"/>
  </w:num>
  <w:num w:numId="13" w16cid:durableId="1977102125">
    <w:abstractNumId w:val="0"/>
  </w:num>
  <w:num w:numId="14" w16cid:durableId="1219052470">
    <w:abstractNumId w:val="9"/>
  </w:num>
  <w:num w:numId="15" w16cid:durableId="565604392">
    <w:abstractNumId w:val="15"/>
  </w:num>
  <w:num w:numId="16" w16cid:durableId="1565749661">
    <w:abstractNumId w:val="1"/>
  </w:num>
  <w:num w:numId="17" w16cid:durableId="786316061">
    <w:abstractNumId w:val="16"/>
  </w:num>
  <w:num w:numId="18" w16cid:durableId="1193347755">
    <w:abstractNumId w:val="4"/>
  </w:num>
  <w:num w:numId="19" w16cid:durableId="19354387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1C6A"/>
    <w:rsid w:val="00005535"/>
    <w:rsid w:val="00010085"/>
    <w:rsid w:val="00013152"/>
    <w:rsid w:val="0002048B"/>
    <w:rsid w:val="00021681"/>
    <w:rsid w:val="00027199"/>
    <w:rsid w:val="000301C7"/>
    <w:rsid w:val="00031652"/>
    <w:rsid w:val="00033392"/>
    <w:rsid w:val="000410EB"/>
    <w:rsid w:val="00041D13"/>
    <w:rsid w:val="00042C14"/>
    <w:rsid w:val="0004554C"/>
    <w:rsid w:val="000556B3"/>
    <w:rsid w:val="0005769F"/>
    <w:rsid w:val="000723D6"/>
    <w:rsid w:val="000801BC"/>
    <w:rsid w:val="000810FF"/>
    <w:rsid w:val="000870B7"/>
    <w:rsid w:val="000922DA"/>
    <w:rsid w:val="000A36CD"/>
    <w:rsid w:val="000A564E"/>
    <w:rsid w:val="000B06D5"/>
    <w:rsid w:val="000B22FA"/>
    <w:rsid w:val="000B3104"/>
    <w:rsid w:val="000C64FD"/>
    <w:rsid w:val="000C702B"/>
    <w:rsid w:val="000D1497"/>
    <w:rsid w:val="000D21F2"/>
    <w:rsid w:val="000E2CBA"/>
    <w:rsid w:val="000E41F9"/>
    <w:rsid w:val="000F4A33"/>
    <w:rsid w:val="000F532D"/>
    <w:rsid w:val="000F7277"/>
    <w:rsid w:val="001010FA"/>
    <w:rsid w:val="00101BA4"/>
    <w:rsid w:val="0010291E"/>
    <w:rsid w:val="00103452"/>
    <w:rsid w:val="00103F79"/>
    <w:rsid w:val="001055CF"/>
    <w:rsid w:val="00115A68"/>
    <w:rsid w:val="0011690A"/>
    <w:rsid w:val="00120C12"/>
    <w:rsid w:val="001278A4"/>
    <w:rsid w:val="0013176C"/>
    <w:rsid w:val="00131B87"/>
    <w:rsid w:val="00131D86"/>
    <w:rsid w:val="001338F9"/>
    <w:rsid w:val="00133B96"/>
    <w:rsid w:val="00133E63"/>
    <w:rsid w:val="001429AA"/>
    <w:rsid w:val="00154E65"/>
    <w:rsid w:val="00155826"/>
    <w:rsid w:val="00160393"/>
    <w:rsid w:val="00161AAA"/>
    <w:rsid w:val="001622D2"/>
    <w:rsid w:val="00162418"/>
    <w:rsid w:val="001727BA"/>
    <w:rsid w:val="00175D3F"/>
    <w:rsid w:val="00176C55"/>
    <w:rsid w:val="00180B6C"/>
    <w:rsid w:val="00181A4B"/>
    <w:rsid w:val="00190853"/>
    <w:rsid w:val="00191F3C"/>
    <w:rsid w:val="001A1D27"/>
    <w:rsid w:val="001A3711"/>
    <w:rsid w:val="001A37FB"/>
    <w:rsid w:val="001A51ED"/>
    <w:rsid w:val="001B06D9"/>
    <w:rsid w:val="001B2E3A"/>
    <w:rsid w:val="001B6E86"/>
    <w:rsid w:val="001C25EC"/>
    <w:rsid w:val="001C3A09"/>
    <w:rsid w:val="001D6E18"/>
    <w:rsid w:val="001E078C"/>
    <w:rsid w:val="001E6A04"/>
    <w:rsid w:val="001E76D7"/>
    <w:rsid w:val="001F1F14"/>
    <w:rsid w:val="0020058E"/>
    <w:rsid w:val="00203C2D"/>
    <w:rsid w:val="00210C56"/>
    <w:rsid w:val="00215C14"/>
    <w:rsid w:val="00217675"/>
    <w:rsid w:val="002219AE"/>
    <w:rsid w:val="00224C17"/>
    <w:rsid w:val="0023075D"/>
    <w:rsid w:val="00237355"/>
    <w:rsid w:val="00241866"/>
    <w:rsid w:val="002578DB"/>
    <w:rsid w:val="00263D78"/>
    <w:rsid w:val="0026461B"/>
    <w:rsid w:val="00266820"/>
    <w:rsid w:val="00274738"/>
    <w:rsid w:val="0027634D"/>
    <w:rsid w:val="00276C70"/>
    <w:rsid w:val="00277B35"/>
    <w:rsid w:val="00284473"/>
    <w:rsid w:val="00290E18"/>
    <w:rsid w:val="0029117A"/>
    <w:rsid w:val="00292D43"/>
    <w:rsid w:val="00293639"/>
    <w:rsid w:val="00296BA1"/>
    <w:rsid w:val="0029768B"/>
    <w:rsid w:val="002A2C26"/>
    <w:rsid w:val="002A3788"/>
    <w:rsid w:val="002B1FF7"/>
    <w:rsid w:val="002B21F9"/>
    <w:rsid w:val="002B24F6"/>
    <w:rsid w:val="002B7880"/>
    <w:rsid w:val="002C3D63"/>
    <w:rsid w:val="002D0316"/>
    <w:rsid w:val="002D194C"/>
    <w:rsid w:val="002E2006"/>
    <w:rsid w:val="002F36B8"/>
    <w:rsid w:val="002F4C23"/>
    <w:rsid w:val="0030326F"/>
    <w:rsid w:val="003056A7"/>
    <w:rsid w:val="00310D95"/>
    <w:rsid w:val="003153C3"/>
    <w:rsid w:val="00326160"/>
    <w:rsid w:val="003330ED"/>
    <w:rsid w:val="00333EA7"/>
    <w:rsid w:val="00345149"/>
    <w:rsid w:val="00350470"/>
    <w:rsid w:val="003549FC"/>
    <w:rsid w:val="0036450C"/>
    <w:rsid w:val="0037253D"/>
    <w:rsid w:val="00376A8B"/>
    <w:rsid w:val="003771EB"/>
    <w:rsid w:val="00385DFF"/>
    <w:rsid w:val="003866BE"/>
    <w:rsid w:val="003A45F6"/>
    <w:rsid w:val="003A6B7B"/>
    <w:rsid w:val="003B4A52"/>
    <w:rsid w:val="003C1A54"/>
    <w:rsid w:val="003C511E"/>
    <w:rsid w:val="003D0D28"/>
    <w:rsid w:val="003D7372"/>
    <w:rsid w:val="003E539A"/>
    <w:rsid w:val="003F099C"/>
    <w:rsid w:val="003F2839"/>
    <w:rsid w:val="003F4E82"/>
    <w:rsid w:val="00401ABD"/>
    <w:rsid w:val="00402602"/>
    <w:rsid w:val="004105B6"/>
    <w:rsid w:val="0041487A"/>
    <w:rsid w:val="00417287"/>
    <w:rsid w:val="004237A8"/>
    <w:rsid w:val="00423971"/>
    <w:rsid w:val="004254A0"/>
    <w:rsid w:val="0042633D"/>
    <w:rsid w:val="00426C3A"/>
    <w:rsid w:val="004313E6"/>
    <w:rsid w:val="00431E6D"/>
    <w:rsid w:val="004344BE"/>
    <w:rsid w:val="004348A5"/>
    <w:rsid w:val="004403BD"/>
    <w:rsid w:val="00441DCA"/>
    <w:rsid w:val="00442EEA"/>
    <w:rsid w:val="00454910"/>
    <w:rsid w:val="00454A2F"/>
    <w:rsid w:val="00454E79"/>
    <w:rsid w:val="00463B57"/>
    <w:rsid w:val="004779B4"/>
    <w:rsid w:val="00480FAA"/>
    <w:rsid w:val="00481FFF"/>
    <w:rsid w:val="00484D37"/>
    <w:rsid w:val="004A4017"/>
    <w:rsid w:val="004A623D"/>
    <w:rsid w:val="004B4821"/>
    <w:rsid w:val="004C062F"/>
    <w:rsid w:val="004C7CB9"/>
    <w:rsid w:val="004D5E71"/>
    <w:rsid w:val="004E57C5"/>
    <w:rsid w:val="004E79A5"/>
    <w:rsid w:val="004E79B9"/>
    <w:rsid w:val="004F2D1F"/>
    <w:rsid w:val="00514E2C"/>
    <w:rsid w:val="00517DB2"/>
    <w:rsid w:val="00526851"/>
    <w:rsid w:val="005275F1"/>
    <w:rsid w:val="00541F11"/>
    <w:rsid w:val="00544541"/>
    <w:rsid w:val="005473BC"/>
    <w:rsid w:val="00552DAC"/>
    <w:rsid w:val="00575A3A"/>
    <w:rsid w:val="005851AF"/>
    <w:rsid w:val="005873E3"/>
    <w:rsid w:val="00590188"/>
    <w:rsid w:val="00592BF6"/>
    <w:rsid w:val="0059448E"/>
    <w:rsid w:val="005A0673"/>
    <w:rsid w:val="005B1049"/>
    <w:rsid w:val="005C23BD"/>
    <w:rsid w:val="005C3F83"/>
    <w:rsid w:val="005D06FC"/>
    <w:rsid w:val="005D2559"/>
    <w:rsid w:val="005D389E"/>
    <w:rsid w:val="005D6A0B"/>
    <w:rsid w:val="005E2D3D"/>
    <w:rsid w:val="005F2A05"/>
    <w:rsid w:val="00604E77"/>
    <w:rsid w:val="00610AED"/>
    <w:rsid w:val="00613CDE"/>
    <w:rsid w:val="0061535B"/>
    <w:rsid w:val="00625B87"/>
    <w:rsid w:val="0063311E"/>
    <w:rsid w:val="006334E4"/>
    <w:rsid w:val="006413E8"/>
    <w:rsid w:val="0064719C"/>
    <w:rsid w:val="00654931"/>
    <w:rsid w:val="006575EA"/>
    <w:rsid w:val="00663A6C"/>
    <w:rsid w:val="00670869"/>
    <w:rsid w:val="006761E1"/>
    <w:rsid w:val="00683987"/>
    <w:rsid w:val="0068500F"/>
    <w:rsid w:val="00693033"/>
    <w:rsid w:val="006970B0"/>
    <w:rsid w:val="006A0EEB"/>
    <w:rsid w:val="006A36A5"/>
    <w:rsid w:val="006A5357"/>
    <w:rsid w:val="006A5EAE"/>
    <w:rsid w:val="006A671A"/>
    <w:rsid w:val="006B0E6E"/>
    <w:rsid w:val="006B19AB"/>
    <w:rsid w:val="006B20A9"/>
    <w:rsid w:val="006C1DF6"/>
    <w:rsid w:val="006D02EB"/>
    <w:rsid w:val="006D0DAC"/>
    <w:rsid w:val="006D45FD"/>
    <w:rsid w:val="006E365C"/>
    <w:rsid w:val="006E3AF2"/>
    <w:rsid w:val="006E6680"/>
    <w:rsid w:val="006F34C6"/>
    <w:rsid w:val="006F7F90"/>
    <w:rsid w:val="00700C29"/>
    <w:rsid w:val="00701DB9"/>
    <w:rsid w:val="00704CFF"/>
    <w:rsid w:val="00705367"/>
    <w:rsid w:val="00705819"/>
    <w:rsid w:val="00705BD4"/>
    <w:rsid w:val="00706745"/>
    <w:rsid w:val="007072F7"/>
    <w:rsid w:val="00714B57"/>
    <w:rsid w:val="0072531D"/>
    <w:rsid w:val="0074082B"/>
    <w:rsid w:val="0074235B"/>
    <w:rsid w:val="0074395D"/>
    <w:rsid w:val="00743AD2"/>
    <w:rsid w:val="007445F4"/>
    <w:rsid w:val="007554DE"/>
    <w:rsid w:val="00760EA6"/>
    <w:rsid w:val="00766256"/>
    <w:rsid w:val="0077519E"/>
    <w:rsid w:val="00776415"/>
    <w:rsid w:val="00795D54"/>
    <w:rsid w:val="00796AF7"/>
    <w:rsid w:val="007970C3"/>
    <w:rsid w:val="007A5702"/>
    <w:rsid w:val="007B03D2"/>
    <w:rsid w:val="007B10BE"/>
    <w:rsid w:val="007B119E"/>
    <w:rsid w:val="007C296B"/>
    <w:rsid w:val="007D65B3"/>
    <w:rsid w:val="007D716B"/>
    <w:rsid w:val="007E060B"/>
    <w:rsid w:val="007E38DC"/>
    <w:rsid w:val="007F4255"/>
    <w:rsid w:val="00800EC8"/>
    <w:rsid w:val="00806214"/>
    <w:rsid w:val="00810D2E"/>
    <w:rsid w:val="008122C6"/>
    <w:rsid w:val="008263CA"/>
    <w:rsid w:val="00827B7C"/>
    <w:rsid w:val="008312C4"/>
    <w:rsid w:val="00832A35"/>
    <w:rsid w:val="00836281"/>
    <w:rsid w:val="00837253"/>
    <w:rsid w:val="00844F1E"/>
    <w:rsid w:val="0085229B"/>
    <w:rsid w:val="008555D8"/>
    <w:rsid w:val="00861DA7"/>
    <w:rsid w:val="008628B1"/>
    <w:rsid w:val="00865915"/>
    <w:rsid w:val="00872775"/>
    <w:rsid w:val="008745BA"/>
    <w:rsid w:val="00880392"/>
    <w:rsid w:val="00883064"/>
    <w:rsid w:val="008836DF"/>
    <w:rsid w:val="00883C55"/>
    <w:rsid w:val="008847FE"/>
    <w:rsid w:val="008912E9"/>
    <w:rsid w:val="0089234B"/>
    <w:rsid w:val="008927AF"/>
    <w:rsid w:val="0089343B"/>
    <w:rsid w:val="0089400B"/>
    <w:rsid w:val="008A153A"/>
    <w:rsid w:val="008B1F84"/>
    <w:rsid w:val="008B5D50"/>
    <w:rsid w:val="008C02B9"/>
    <w:rsid w:val="008C5B74"/>
    <w:rsid w:val="008D52B7"/>
    <w:rsid w:val="008E07D4"/>
    <w:rsid w:val="008E0FCD"/>
    <w:rsid w:val="008E3EFA"/>
    <w:rsid w:val="008F175C"/>
    <w:rsid w:val="00904378"/>
    <w:rsid w:val="00905E67"/>
    <w:rsid w:val="00913143"/>
    <w:rsid w:val="00923F91"/>
    <w:rsid w:val="009318B6"/>
    <w:rsid w:val="00934718"/>
    <w:rsid w:val="00934884"/>
    <w:rsid w:val="00936421"/>
    <w:rsid w:val="00937A0B"/>
    <w:rsid w:val="00941342"/>
    <w:rsid w:val="009458D2"/>
    <w:rsid w:val="00946B20"/>
    <w:rsid w:val="00962F4D"/>
    <w:rsid w:val="0097566D"/>
    <w:rsid w:val="0098046D"/>
    <w:rsid w:val="00984B36"/>
    <w:rsid w:val="00987689"/>
    <w:rsid w:val="009955A8"/>
    <w:rsid w:val="009A4E6F"/>
    <w:rsid w:val="009A58C1"/>
    <w:rsid w:val="009B4B02"/>
    <w:rsid w:val="009C1440"/>
    <w:rsid w:val="009D2451"/>
    <w:rsid w:val="009F029C"/>
    <w:rsid w:val="009F2F3E"/>
    <w:rsid w:val="009F6D67"/>
    <w:rsid w:val="00A01611"/>
    <w:rsid w:val="00A0302E"/>
    <w:rsid w:val="00A04A92"/>
    <w:rsid w:val="00A05A66"/>
    <w:rsid w:val="00A06E22"/>
    <w:rsid w:val="00A11DCD"/>
    <w:rsid w:val="00A204D7"/>
    <w:rsid w:val="00A227EA"/>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A6CB6"/>
    <w:rsid w:val="00AC3032"/>
    <w:rsid w:val="00AC6A61"/>
    <w:rsid w:val="00AC7094"/>
    <w:rsid w:val="00AD3FAB"/>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5702E"/>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D620D"/>
    <w:rsid w:val="00BE0255"/>
    <w:rsid w:val="00BF1795"/>
    <w:rsid w:val="00BF30C5"/>
    <w:rsid w:val="00C0225E"/>
    <w:rsid w:val="00C0654C"/>
    <w:rsid w:val="00C07A90"/>
    <w:rsid w:val="00C11283"/>
    <w:rsid w:val="00C1653A"/>
    <w:rsid w:val="00C25F9D"/>
    <w:rsid w:val="00C31E83"/>
    <w:rsid w:val="00C344AB"/>
    <w:rsid w:val="00C43FD0"/>
    <w:rsid w:val="00C518C1"/>
    <w:rsid w:val="00C53751"/>
    <w:rsid w:val="00C57281"/>
    <w:rsid w:val="00C61286"/>
    <w:rsid w:val="00C63923"/>
    <w:rsid w:val="00C63F4F"/>
    <w:rsid w:val="00C67347"/>
    <w:rsid w:val="00C710E0"/>
    <w:rsid w:val="00C81416"/>
    <w:rsid w:val="00C928F8"/>
    <w:rsid w:val="00C94576"/>
    <w:rsid w:val="00C969FA"/>
    <w:rsid w:val="00C97577"/>
    <w:rsid w:val="00CA71A8"/>
    <w:rsid w:val="00CA7B7B"/>
    <w:rsid w:val="00CB0FF8"/>
    <w:rsid w:val="00CB1501"/>
    <w:rsid w:val="00CB362E"/>
    <w:rsid w:val="00CC03A7"/>
    <w:rsid w:val="00CC138F"/>
    <w:rsid w:val="00CC3E7A"/>
    <w:rsid w:val="00CC614B"/>
    <w:rsid w:val="00CD18DD"/>
    <w:rsid w:val="00CD4615"/>
    <w:rsid w:val="00CE40FD"/>
    <w:rsid w:val="00CE73BC"/>
    <w:rsid w:val="00CE7A70"/>
    <w:rsid w:val="00CF0458"/>
    <w:rsid w:val="00CF0A1D"/>
    <w:rsid w:val="00CF7F4B"/>
    <w:rsid w:val="00D0502B"/>
    <w:rsid w:val="00D211DE"/>
    <w:rsid w:val="00D22A04"/>
    <w:rsid w:val="00D263FE"/>
    <w:rsid w:val="00D307A1"/>
    <w:rsid w:val="00D55395"/>
    <w:rsid w:val="00D56C09"/>
    <w:rsid w:val="00D57722"/>
    <w:rsid w:val="00D61E36"/>
    <w:rsid w:val="00D64DF4"/>
    <w:rsid w:val="00D65F02"/>
    <w:rsid w:val="00D713D7"/>
    <w:rsid w:val="00D75B84"/>
    <w:rsid w:val="00D75FF8"/>
    <w:rsid w:val="00D77733"/>
    <w:rsid w:val="00D801A1"/>
    <w:rsid w:val="00D91843"/>
    <w:rsid w:val="00D954B0"/>
    <w:rsid w:val="00D968DA"/>
    <w:rsid w:val="00D96C1E"/>
    <w:rsid w:val="00DA1CC6"/>
    <w:rsid w:val="00DA4578"/>
    <w:rsid w:val="00DA73A0"/>
    <w:rsid w:val="00DB16A2"/>
    <w:rsid w:val="00DB23D4"/>
    <w:rsid w:val="00DB63D4"/>
    <w:rsid w:val="00DC15D9"/>
    <w:rsid w:val="00DD1BBF"/>
    <w:rsid w:val="00DD1CFF"/>
    <w:rsid w:val="00DD31D3"/>
    <w:rsid w:val="00DD69AE"/>
    <w:rsid w:val="00DE1148"/>
    <w:rsid w:val="00DE2B7A"/>
    <w:rsid w:val="00DF3B00"/>
    <w:rsid w:val="00DF4FCD"/>
    <w:rsid w:val="00DF7C07"/>
    <w:rsid w:val="00E018C8"/>
    <w:rsid w:val="00E13A2C"/>
    <w:rsid w:val="00E27D63"/>
    <w:rsid w:val="00E36899"/>
    <w:rsid w:val="00E36AF7"/>
    <w:rsid w:val="00E45464"/>
    <w:rsid w:val="00E46092"/>
    <w:rsid w:val="00E4755D"/>
    <w:rsid w:val="00E500F9"/>
    <w:rsid w:val="00E53E6A"/>
    <w:rsid w:val="00E60627"/>
    <w:rsid w:val="00E641DE"/>
    <w:rsid w:val="00E74A47"/>
    <w:rsid w:val="00E948CE"/>
    <w:rsid w:val="00E95018"/>
    <w:rsid w:val="00EA5722"/>
    <w:rsid w:val="00EB017E"/>
    <w:rsid w:val="00EB33FD"/>
    <w:rsid w:val="00EC194E"/>
    <w:rsid w:val="00EC38F4"/>
    <w:rsid w:val="00EC63A4"/>
    <w:rsid w:val="00EC7B24"/>
    <w:rsid w:val="00ED0D58"/>
    <w:rsid w:val="00ED1712"/>
    <w:rsid w:val="00ED286D"/>
    <w:rsid w:val="00ED6D1D"/>
    <w:rsid w:val="00F00C16"/>
    <w:rsid w:val="00F076EF"/>
    <w:rsid w:val="00F15B95"/>
    <w:rsid w:val="00F16868"/>
    <w:rsid w:val="00F3256C"/>
    <w:rsid w:val="00F32980"/>
    <w:rsid w:val="00F409A9"/>
    <w:rsid w:val="00F42F5D"/>
    <w:rsid w:val="00F44DE9"/>
    <w:rsid w:val="00F46CBC"/>
    <w:rsid w:val="00F4746B"/>
    <w:rsid w:val="00F474E9"/>
    <w:rsid w:val="00F50687"/>
    <w:rsid w:val="00F62917"/>
    <w:rsid w:val="00F62BE0"/>
    <w:rsid w:val="00F64260"/>
    <w:rsid w:val="00F827CE"/>
    <w:rsid w:val="00F8288D"/>
    <w:rsid w:val="00F84B65"/>
    <w:rsid w:val="00F85A86"/>
    <w:rsid w:val="00F871BA"/>
    <w:rsid w:val="00F94713"/>
    <w:rsid w:val="00F96A69"/>
    <w:rsid w:val="00FA3E6A"/>
    <w:rsid w:val="00FA6359"/>
    <w:rsid w:val="00FA6998"/>
    <w:rsid w:val="00FA769F"/>
    <w:rsid w:val="00FA78CA"/>
    <w:rsid w:val="00FB1042"/>
    <w:rsid w:val="00FB6153"/>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7E060B"/>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07557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23290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Abbotson, Susan C. W.</cp:lastModifiedBy>
  <cp:revision>8</cp:revision>
  <cp:lastPrinted>2015-10-02T15:20:00Z</cp:lastPrinted>
  <dcterms:created xsi:type="dcterms:W3CDTF">2024-04-25T15:55:00Z</dcterms:created>
  <dcterms:modified xsi:type="dcterms:W3CDTF">2024-05-07T11:44:00Z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