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6C892C5E" w:rsidR="00F64260" w:rsidRPr="00A83A6C" w:rsidRDefault="00546D5B" w:rsidP="00B862BF">
            <w:pPr>
              <w:pStyle w:val="Heading5"/>
              <w:rPr>
                <w:b/>
              </w:rPr>
            </w:pPr>
            <w:bookmarkStart w:id="0" w:name="Proposal"/>
            <w:bookmarkEnd w:id="0"/>
            <w:r>
              <w:rPr>
                <w:b/>
              </w:rPr>
              <w:t>CUS i</w:t>
            </w:r>
            <w:r w:rsidR="00F03DB6">
              <w:rPr>
                <w:b/>
              </w:rPr>
              <w:t>nter</w:t>
            </w:r>
            <w:r w:rsidR="00B03B59">
              <w:rPr>
                <w:b/>
              </w:rPr>
              <w:t>scholastic athletic administration</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3D93270" w14:textId="66A3E020" w:rsidR="005E2D3D" w:rsidRPr="001A6D13" w:rsidRDefault="006E365C" w:rsidP="001A6D13">
            <w:pPr>
              <w:spacing w:line="240" w:lineRule="auto"/>
              <w:rPr>
                <w:rStyle w:val="Hyperlink"/>
                <w:color w:val="auto"/>
                <w:u w:val="none"/>
              </w:rPr>
            </w:pPr>
            <w:r w:rsidRPr="006E365C">
              <w:t>A. 1b</w:t>
            </w:r>
            <w:r>
              <w:t>.</w:t>
            </w:r>
            <w:r w:rsidRPr="006E365C">
              <w:t xml:space="preserve"> Academic </w:t>
            </w:r>
            <w:r>
              <w:t>unit</w:t>
            </w:r>
          </w:p>
        </w:tc>
        <w:tc>
          <w:tcPr>
            <w:tcW w:w="3758" w:type="pct"/>
            <w:gridSpan w:val="4"/>
          </w:tcPr>
          <w:p w14:paraId="0E70A62B" w14:textId="6962B248" w:rsidR="005E2D3D" w:rsidRPr="0085298D" w:rsidRDefault="005E2D3D" w:rsidP="000E4E94">
            <w:pPr>
              <w:rPr>
                <w:b/>
                <w:highlight w:val="yellow"/>
              </w:rPr>
            </w:pPr>
            <w:r w:rsidRPr="0085298D">
              <w:rPr>
                <w:b/>
              </w:rPr>
              <w:t xml:space="preserve">School of Business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57B9D441" w:rsidR="00F64260" w:rsidRPr="005F2A05" w:rsidRDefault="00F64260" w:rsidP="000A36CD">
            <w:pPr>
              <w:rPr>
                <w:b/>
              </w:rPr>
            </w:pPr>
            <w:bookmarkStart w:id="4" w:name="deletion"/>
            <w:bookmarkEnd w:id="4"/>
            <w:r w:rsidRPr="005F2A05">
              <w:rPr>
                <w:b/>
              </w:rPr>
              <w:t xml:space="preserve">Program: </w:t>
            </w:r>
            <w:r>
              <w:rPr>
                <w:b/>
              </w:rPr>
              <w:t xml:space="preserve"> </w:t>
            </w:r>
            <w:hyperlink w:anchor="creation" w:tooltip="New programs also need additional approval by the Board of Governors before going into effect" w:history="1">
              <w:r w:rsidRPr="0085298D">
                <w:rPr>
                  <w:rStyle w:val="Hyperlink"/>
                  <w:b/>
                </w:rPr>
                <w:t>creation</w:t>
              </w:r>
            </w:hyperlink>
            <w:bookmarkStart w:id="5" w:name="revision"/>
            <w:bookmarkEnd w:id="5"/>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5DA3853" w:rsidR="00F64260" w:rsidRPr="00B605CE" w:rsidRDefault="00B03B59" w:rsidP="00B862BF">
            <w:pPr>
              <w:rPr>
                <w:b/>
              </w:rPr>
            </w:pPr>
            <w:bookmarkStart w:id="6" w:name="Originator"/>
            <w:bookmarkEnd w:id="6"/>
            <w:r>
              <w:rPr>
                <w:b/>
              </w:rPr>
              <w:t>Marianne Raimondo</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5992B0B4" w:rsidR="00F64260" w:rsidRPr="00B605CE" w:rsidRDefault="00B03B59" w:rsidP="00B862BF">
            <w:pPr>
              <w:rPr>
                <w:b/>
              </w:rPr>
            </w:pPr>
            <w:bookmarkStart w:id="7" w:name="home_dept"/>
            <w:bookmarkEnd w:id="7"/>
            <w:r>
              <w:rPr>
                <w:b/>
              </w:rPr>
              <w:t>School of Business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6ED3DFD3" w:rsidR="00F64260" w:rsidRDefault="00B03B59" w:rsidP="00FA6998">
            <w:pPr>
              <w:rPr>
                <w:b/>
              </w:rPr>
            </w:pPr>
            <w:bookmarkStart w:id="8" w:name="Rationale"/>
            <w:bookmarkEnd w:id="8"/>
            <w:r>
              <w:rPr>
                <w:b/>
              </w:rPr>
              <w:t>There is a tremendous need in Rhode Island and nationally for Athletic Directors to be prepared for the many aspects of interscholastic athlet</w:t>
            </w:r>
            <w:r w:rsidR="00D10816">
              <w:rPr>
                <w:b/>
              </w:rPr>
              <w:t>ics and sports administration</w:t>
            </w:r>
            <w:r>
              <w:rPr>
                <w:b/>
              </w:rPr>
              <w:t xml:space="preserve">. </w:t>
            </w:r>
          </w:p>
          <w:p w14:paraId="513E86BB" w14:textId="77777777" w:rsidR="006F078D" w:rsidRDefault="006F078D" w:rsidP="00FA6998">
            <w:pPr>
              <w:rPr>
                <w:b/>
              </w:rPr>
            </w:pPr>
          </w:p>
          <w:p w14:paraId="49620086" w14:textId="326AE173" w:rsidR="00B03B59" w:rsidRDefault="00B03B59" w:rsidP="00FA6998">
            <w:pPr>
              <w:rPr>
                <w:b/>
              </w:rPr>
            </w:pPr>
            <w:r>
              <w:rPr>
                <w:b/>
              </w:rPr>
              <w:t>In discussion with the leadership of the Rhode Island Interscholastic league</w:t>
            </w:r>
            <w:r w:rsidR="004F1F0E">
              <w:rPr>
                <w:b/>
              </w:rPr>
              <w:t xml:space="preserve"> most Athletic Directors have little to no training </w:t>
            </w:r>
            <w:r w:rsidR="00D10816">
              <w:rPr>
                <w:b/>
              </w:rPr>
              <w:t xml:space="preserve">in management of </w:t>
            </w:r>
            <w:r w:rsidR="004F1F0E">
              <w:rPr>
                <w:b/>
              </w:rPr>
              <w:t>a high school athletic program</w:t>
            </w:r>
            <w:r w:rsidR="00D10816">
              <w:rPr>
                <w:b/>
              </w:rPr>
              <w:t>, as many had experience as coaches or teachers</w:t>
            </w:r>
            <w:r w:rsidR="004F1F0E">
              <w:rPr>
                <w:b/>
              </w:rPr>
              <w:t xml:space="preserve"> </w:t>
            </w:r>
          </w:p>
          <w:p w14:paraId="4A885EE8" w14:textId="77777777" w:rsidR="00553B10" w:rsidRDefault="00553B10" w:rsidP="00FA6998">
            <w:pPr>
              <w:rPr>
                <w:b/>
              </w:rPr>
            </w:pPr>
          </w:p>
          <w:p w14:paraId="3A4A9877" w14:textId="32276CD2" w:rsidR="004F1F0E" w:rsidRDefault="004F1F0E" w:rsidP="00FA6998">
            <w:pPr>
              <w:rPr>
                <w:b/>
              </w:rPr>
            </w:pPr>
            <w:r>
              <w:rPr>
                <w:b/>
              </w:rPr>
              <w:t>The position of high school Athletic Director has become more and more complicated throughout the years as youth sports ha</w:t>
            </w:r>
            <w:r w:rsidR="006F078D">
              <w:rPr>
                <w:b/>
              </w:rPr>
              <w:t>ve</w:t>
            </w:r>
            <w:r>
              <w:rPr>
                <w:b/>
              </w:rPr>
              <w:t xml:space="preserve"> grown </w:t>
            </w:r>
            <w:r w:rsidR="006F078D">
              <w:rPr>
                <w:b/>
              </w:rPr>
              <w:t>significantly,</w:t>
            </w:r>
            <w:r>
              <w:rPr>
                <w:b/>
              </w:rPr>
              <w:t xml:space="preserve"> resulting in a greater</w:t>
            </w:r>
            <w:r w:rsidR="00553B10">
              <w:rPr>
                <w:b/>
              </w:rPr>
              <w:t xml:space="preserve"> </w:t>
            </w:r>
            <w:r w:rsidR="00FB70E8">
              <w:rPr>
                <w:b/>
              </w:rPr>
              <w:t>demand</w:t>
            </w:r>
            <w:r w:rsidR="00553B10">
              <w:rPr>
                <w:b/>
              </w:rPr>
              <w:t xml:space="preserve"> for well run teams and athletic programs. The current high school Athletic Director needs to be well versed in scheduling, budget management, team travel,</w:t>
            </w:r>
            <w:r w:rsidR="006F078D">
              <w:rPr>
                <w:b/>
              </w:rPr>
              <w:t xml:space="preserve"> facilities and</w:t>
            </w:r>
            <w:r w:rsidR="00553B10">
              <w:rPr>
                <w:b/>
              </w:rPr>
              <w:t xml:space="preserve"> gear management, fundraising, </w:t>
            </w:r>
            <w:r w:rsidR="006F078D">
              <w:rPr>
                <w:b/>
              </w:rPr>
              <w:t>human resources</w:t>
            </w:r>
            <w:r w:rsidR="00553B10">
              <w:rPr>
                <w:b/>
              </w:rPr>
              <w:t xml:space="preserve">, </w:t>
            </w:r>
            <w:r w:rsidR="006F078D">
              <w:rPr>
                <w:b/>
              </w:rPr>
              <w:t xml:space="preserve">interpersonal communication, </w:t>
            </w:r>
            <w:r w:rsidR="00553B10">
              <w:rPr>
                <w:b/>
              </w:rPr>
              <w:t>Title IX</w:t>
            </w:r>
            <w:r w:rsidR="006F078D">
              <w:rPr>
                <w:b/>
              </w:rPr>
              <w:t xml:space="preserve"> and other legal issues</w:t>
            </w:r>
            <w:r w:rsidR="00553B10">
              <w:rPr>
                <w:b/>
              </w:rPr>
              <w:t xml:space="preserve">, and </w:t>
            </w:r>
            <w:r w:rsidR="006F078D">
              <w:rPr>
                <w:b/>
              </w:rPr>
              <w:t>interacting</w:t>
            </w:r>
            <w:r w:rsidR="00553B10">
              <w:rPr>
                <w:b/>
              </w:rPr>
              <w:t xml:space="preserve"> with student athletes and their parents. </w:t>
            </w:r>
          </w:p>
          <w:p w14:paraId="597241F3" w14:textId="0F58E59E" w:rsidR="00553B10" w:rsidRDefault="00553B10" w:rsidP="00FA6998">
            <w:pPr>
              <w:rPr>
                <w:b/>
              </w:rPr>
            </w:pPr>
          </w:p>
          <w:p w14:paraId="41EFFC68" w14:textId="01BEBDC1" w:rsidR="001A6D13" w:rsidRPr="00FA6998" w:rsidRDefault="00553B10" w:rsidP="001A6D13">
            <w:pPr>
              <w:rPr>
                <w:b/>
              </w:rPr>
            </w:pPr>
            <w:r>
              <w:rPr>
                <w:b/>
              </w:rPr>
              <w:t>This certificate and its courses will prepare students</w:t>
            </w:r>
            <w:r w:rsidR="00F16A8A">
              <w:rPr>
                <w:b/>
              </w:rPr>
              <w:t xml:space="preserve"> to take on the role of leading a high school athletic program.</w:t>
            </w:r>
            <w:r w:rsidR="007D6DE1">
              <w:rPr>
                <w:b/>
              </w:rPr>
              <w:t xml:space="preserve"> </w:t>
            </w:r>
            <w:r w:rsidR="00291B84">
              <w:rPr>
                <w:b/>
              </w:rPr>
              <w:t>The embedded CUS is designed for students with the intent of gaining employment within local High School Athletic Departments. This program was designed by David Roach, future Program Director, under the guidance of the Rhode Island Interscholastic League.</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D6B47FD" w14:textId="6EA0612A" w:rsidR="00517DB2" w:rsidRDefault="00F16A8A" w:rsidP="00517DB2">
            <w:pPr>
              <w:rPr>
                <w:b/>
              </w:rPr>
            </w:pPr>
            <w:bookmarkStart w:id="9" w:name="student_impact"/>
            <w:bookmarkEnd w:id="9"/>
            <w:r>
              <w:rPr>
                <w:b/>
              </w:rPr>
              <w:t xml:space="preserve">The certificate for Interscholastic Athletic Administration will provide students with the knowledge for a career in high school athletics. This certificate is designed for those pursuing a career in interscholastic </w:t>
            </w:r>
            <w:r w:rsidR="001A6D13">
              <w:rPr>
                <w:b/>
              </w:rPr>
              <w:t>a</w:t>
            </w:r>
            <w:r>
              <w:rPr>
                <w:b/>
              </w:rPr>
              <w:t xml:space="preserve">thletic </w:t>
            </w:r>
            <w:r w:rsidR="001A6D13">
              <w:rPr>
                <w:b/>
              </w:rPr>
              <w:t>a</w:t>
            </w:r>
            <w:r>
              <w:rPr>
                <w:b/>
              </w:rPr>
              <w:t>dministration.</w:t>
            </w:r>
          </w:p>
          <w:p w14:paraId="371BDC7F" w14:textId="77777777" w:rsidR="00A94504" w:rsidRDefault="00A94504" w:rsidP="00517DB2">
            <w:pPr>
              <w:rPr>
                <w:b/>
              </w:rPr>
            </w:pPr>
          </w:p>
          <w:p w14:paraId="100AD0D7" w14:textId="77777777" w:rsidR="00A94504" w:rsidRDefault="00A94504" w:rsidP="00517DB2">
            <w:pPr>
              <w:rPr>
                <w:b/>
              </w:rPr>
            </w:pPr>
            <w:r>
              <w:rPr>
                <w:b/>
              </w:rPr>
              <w:t xml:space="preserve">The jobs available after completion of this certificate are numerous as many high schools have openings annually in </w:t>
            </w:r>
            <w:r w:rsidR="001A6D13">
              <w:rPr>
                <w:b/>
              </w:rPr>
              <w:t>a</w:t>
            </w:r>
            <w:r>
              <w:rPr>
                <w:b/>
              </w:rPr>
              <w:t xml:space="preserve">thletic </w:t>
            </w:r>
            <w:r w:rsidR="001A6D13">
              <w:rPr>
                <w:b/>
              </w:rPr>
              <w:t>a</w:t>
            </w:r>
            <w:r>
              <w:rPr>
                <w:b/>
              </w:rPr>
              <w:t>dministration. This certificate combined with an educational major can lead to many opportunities such as Assistant Athletic Director, Athletic Director, and Coaching positions.</w:t>
            </w:r>
          </w:p>
          <w:p w14:paraId="677B2AC9" w14:textId="77777777" w:rsidR="001A6D13" w:rsidRDefault="001A6D13" w:rsidP="00517DB2">
            <w:pPr>
              <w:rPr>
                <w:b/>
              </w:rPr>
            </w:pPr>
          </w:p>
          <w:p w14:paraId="0194753B" w14:textId="0B1D4C38" w:rsidR="001A6D13" w:rsidRPr="00B649C4" w:rsidRDefault="001A6D13" w:rsidP="00517DB2">
            <w:pPr>
              <w:rPr>
                <w:b/>
              </w:rPr>
            </w:pPr>
            <w:r>
              <w:rPr>
                <w:b/>
              </w:rPr>
              <w:t xml:space="preserve">This certificate </w:t>
            </w:r>
            <w:r w:rsidR="003108B2" w:rsidRPr="003108B2">
              <w:rPr>
                <w:b/>
              </w:rPr>
              <w:t>can also be accomplished through the</w:t>
            </w:r>
            <w:r>
              <w:rPr>
                <w:b/>
              </w:rPr>
              <w:t xml:space="preserve"> proposed BS Sports Management as a stackable credit</w:t>
            </w:r>
            <w:r w:rsidR="003108B2">
              <w:rPr>
                <w:b/>
              </w:rPr>
              <w:t xml:space="preserve"> </w:t>
            </w:r>
            <w:r w:rsidR="003108B2" w:rsidRPr="003108B2">
              <w:rPr>
                <w:b/>
                <w:bCs/>
              </w:rPr>
              <w:t>as long as students select the right electives</w:t>
            </w:r>
            <w:r w:rsidRPr="003108B2">
              <w:rPr>
                <w:b/>
                <w:bCs/>
              </w:rPr>
              <w:t>.</w:t>
            </w:r>
          </w:p>
        </w:tc>
      </w:tr>
      <w:tr w:rsidR="00517DB2" w:rsidRPr="006E3AF2" w14:paraId="7D9FD828" w14:textId="77777777" w:rsidTr="00517DB2">
        <w:tc>
          <w:tcPr>
            <w:tcW w:w="1111" w:type="pct"/>
            <w:vAlign w:val="center"/>
          </w:tcPr>
          <w:p w14:paraId="06D8C9D5" w14:textId="7BD402C9" w:rsidR="00517DB2" w:rsidRPr="00B649C4" w:rsidRDefault="008D52B7" w:rsidP="008D52B7">
            <w:r>
              <w:lastRenderedPageBreak/>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7A03F780" w:rsidR="00517DB2" w:rsidRPr="00B649C4" w:rsidRDefault="00FD5CA7" w:rsidP="00517DB2">
            <w:pPr>
              <w:rPr>
                <w:b/>
              </w:rPr>
            </w:pPr>
            <w:bookmarkStart w:id="10" w:name="prog_impact"/>
            <w:bookmarkEnd w:id="10"/>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09F84804" w:rsidR="008D52B7" w:rsidRPr="00C25F9D" w:rsidRDefault="001A6D13" w:rsidP="008D52B7">
            <w:pPr>
              <w:rPr>
                <w:b/>
              </w:rPr>
            </w:pPr>
            <w:r>
              <w:rPr>
                <w:b/>
              </w:rPr>
              <w:t xml:space="preserve">Will need </w:t>
            </w:r>
            <w:r w:rsidR="003108B2" w:rsidRPr="003108B2">
              <w:rPr>
                <w:b/>
              </w:rPr>
              <w:t>to hire a</w:t>
            </w:r>
            <w:r w:rsidR="003108B2">
              <w:t xml:space="preserve"> </w:t>
            </w:r>
            <w:r w:rsidR="006F078D">
              <w:rPr>
                <w:b/>
              </w:rPr>
              <w:t xml:space="preserve">Program Director and </w:t>
            </w:r>
            <w:r w:rsidR="00FB0572">
              <w:rPr>
                <w:b/>
              </w:rPr>
              <w:t>faculty</w:t>
            </w:r>
            <w:r w:rsidR="003108B2">
              <w:rPr>
                <w:b/>
              </w:rPr>
              <w:t xml:space="preserve"> </w:t>
            </w:r>
            <w:r w:rsidR="003108B2" w:rsidRPr="003108B2">
              <w:rPr>
                <w:b/>
                <w:bCs/>
              </w:rPr>
              <w:t>to teach</w:t>
            </w:r>
            <w:r w:rsidR="003108B2">
              <w:rPr>
                <w:b/>
                <w:bCs/>
              </w:rPr>
              <w:t xml:space="preserve"> various courses</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E5E21AF" w:rsidR="008D52B7" w:rsidRPr="00C25F9D" w:rsidRDefault="00070628"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38E25F42" w:rsidR="008D52B7" w:rsidRPr="00C25F9D" w:rsidRDefault="00070628"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732B50E7" w:rsidR="008D52B7" w:rsidRPr="00C25F9D" w:rsidRDefault="006F078D"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28CD3048" w:rsidR="00F64260" w:rsidRPr="00B605CE" w:rsidRDefault="00A94504"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54FDE9B6" w:rsidR="00F64260" w:rsidRPr="00B605CE" w:rsidRDefault="00070628" w:rsidP="00B862BF">
            <w:pPr>
              <w:rPr>
                <w:b/>
              </w:rPr>
            </w:pPr>
            <w:bookmarkStart w:id="12" w:name="Semester_effective"/>
            <w:bookmarkEnd w:id="12"/>
            <w:r>
              <w:rPr>
                <w:b/>
              </w:rPr>
              <w:t>none</w:t>
            </w:r>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49946067"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000AEC1F" w14:textId="3CB70AEE" w:rsidR="00AA5F73" w:rsidRPr="00E36899" w:rsidRDefault="00F64260" w:rsidP="00AA5F73">
      <w:pPr>
        <w:pStyle w:val="Heading3"/>
        <w:keepNext/>
        <w:jc w:val="left"/>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3" w:name="program_proposals"/>
        <w:bookmarkEnd w:id="13"/>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940"/>
        <w:gridCol w:w="6740"/>
      </w:tblGrid>
      <w:tr w:rsidR="00F64260" w:rsidRPr="006E3AF2" w14:paraId="1AE46BD8" w14:textId="77777777" w:rsidTr="001A6D13">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9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4" w:name="old_program"/>
              <w:bookmarkEnd w:id="14"/>
            </w:hyperlink>
          </w:p>
        </w:tc>
        <w:tc>
          <w:tcPr>
            <w:tcW w:w="67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1A6D13">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940" w:type="dxa"/>
            <w:noWrap/>
          </w:tcPr>
          <w:p w14:paraId="057D225D" w14:textId="77777777" w:rsidR="00F64260" w:rsidRPr="009F029C" w:rsidRDefault="00F64260" w:rsidP="00120C12">
            <w:pPr>
              <w:spacing w:line="240" w:lineRule="auto"/>
              <w:rPr>
                <w:b/>
              </w:rPr>
            </w:pPr>
            <w:bookmarkStart w:id="15" w:name="enrollments"/>
            <w:bookmarkEnd w:id="15"/>
          </w:p>
        </w:tc>
        <w:tc>
          <w:tcPr>
            <w:tcW w:w="6740" w:type="dxa"/>
            <w:noWrap/>
          </w:tcPr>
          <w:p w14:paraId="2C9C0D13" w14:textId="67FFD7F0" w:rsidR="00F64260" w:rsidRPr="009F029C" w:rsidRDefault="001A6D13" w:rsidP="00120C12">
            <w:pPr>
              <w:spacing w:line="240" w:lineRule="auto"/>
              <w:rPr>
                <w:b/>
              </w:rPr>
            </w:pPr>
            <w:r>
              <w:rPr>
                <w:b/>
              </w:rPr>
              <w:t xml:space="preserve">Estimated: </w:t>
            </w:r>
            <w:r w:rsidR="00E6299F">
              <w:rPr>
                <w:b/>
              </w:rPr>
              <w:t>20</w:t>
            </w:r>
          </w:p>
        </w:tc>
      </w:tr>
      <w:tr w:rsidR="00AA5F73" w:rsidRPr="006E3AF2" w14:paraId="649EDB30" w14:textId="77777777" w:rsidTr="001A6D13">
        <w:tc>
          <w:tcPr>
            <w:tcW w:w="3100" w:type="dxa"/>
            <w:noWrap/>
            <w:vAlign w:val="center"/>
          </w:tcPr>
          <w:p w14:paraId="0FA4359A" w14:textId="4142F49A" w:rsidR="00AA5F73" w:rsidRDefault="00AA5F73" w:rsidP="00310D95">
            <w:pPr>
              <w:spacing w:line="240" w:lineRule="auto"/>
            </w:pPr>
            <w:r>
              <w:t xml:space="preserve">C. 2. </w:t>
            </w:r>
            <w:bookmarkStart w:id="16"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6"/>
            <w:r w:rsidR="0005769F">
              <w:fldChar w:fldCharType="end"/>
            </w:r>
          </w:p>
        </w:tc>
        <w:tc>
          <w:tcPr>
            <w:tcW w:w="940" w:type="dxa"/>
            <w:noWrap/>
          </w:tcPr>
          <w:p w14:paraId="29A90B7F" w14:textId="77777777" w:rsidR="00AA5F73" w:rsidRPr="009F029C" w:rsidRDefault="00AA5F73" w:rsidP="00120C12">
            <w:pPr>
              <w:spacing w:line="240" w:lineRule="auto"/>
              <w:rPr>
                <w:b/>
              </w:rPr>
            </w:pPr>
          </w:p>
        </w:tc>
        <w:tc>
          <w:tcPr>
            <w:tcW w:w="6740" w:type="dxa"/>
            <w:noWrap/>
          </w:tcPr>
          <w:p w14:paraId="552AC39A" w14:textId="1C903ACF" w:rsidR="00AA5F73" w:rsidRPr="009F029C" w:rsidRDefault="00070628" w:rsidP="00120C12">
            <w:pPr>
              <w:spacing w:line="240" w:lineRule="auto"/>
              <w:rPr>
                <w:b/>
              </w:rPr>
            </w:pPr>
            <w:r>
              <w:rPr>
                <w:b/>
              </w:rPr>
              <w:t>52</w:t>
            </w:r>
            <w:r w:rsidR="00531D19">
              <w:rPr>
                <w:b/>
              </w:rPr>
              <w:t>.9999</w:t>
            </w:r>
          </w:p>
        </w:tc>
      </w:tr>
      <w:tr w:rsidR="00F64260" w:rsidRPr="006E3AF2" w14:paraId="0A95C54B" w14:textId="77777777" w:rsidTr="001A6D13">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940" w:type="dxa"/>
            <w:noWrap/>
          </w:tcPr>
          <w:p w14:paraId="2D34A0B2" w14:textId="77777777" w:rsidR="00F64260" w:rsidRPr="009F029C" w:rsidRDefault="00F64260" w:rsidP="00120C12">
            <w:pPr>
              <w:spacing w:line="240" w:lineRule="auto"/>
              <w:rPr>
                <w:b/>
              </w:rPr>
            </w:pPr>
            <w:bookmarkStart w:id="17" w:name="admissions"/>
            <w:bookmarkEnd w:id="17"/>
          </w:p>
        </w:tc>
        <w:tc>
          <w:tcPr>
            <w:tcW w:w="6740" w:type="dxa"/>
            <w:noWrap/>
          </w:tcPr>
          <w:p w14:paraId="57058A41" w14:textId="77777777" w:rsidR="00F64260" w:rsidRPr="009F029C" w:rsidRDefault="00F64260" w:rsidP="00120C12">
            <w:pPr>
              <w:spacing w:line="240" w:lineRule="auto"/>
              <w:rPr>
                <w:b/>
              </w:rPr>
            </w:pPr>
          </w:p>
        </w:tc>
      </w:tr>
      <w:tr w:rsidR="00F64260" w:rsidRPr="006E3AF2" w14:paraId="61F34EB3" w14:textId="77777777" w:rsidTr="001A6D13">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940" w:type="dxa"/>
            <w:noWrap/>
          </w:tcPr>
          <w:p w14:paraId="604F27AD" w14:textId="77777777" w:rsidR="00F64260" w:rsidRPr="009F029C" w:rsidRDefault="00F64260" w:rsidP="00120C12">
            <w:pPr>
              <w:spacing w:line="240" w:lineRule="auto"/>
              <w:rPr>
                <w:b/>
              </w:rPr>
            </w:pPr>
            <w:bookmarkStart w:id="18" w:name="retention"/>
            <w:bookmarkEnd w:id="18"/>
          </w:p>
        </w:tc>
        <w:tc>
          <w:tcPr>
            <w:tcW w:w="6740" w:type="dxa"/>
            <w:noWrap/>
          </w:tcPr>
          <w:p w14:paraId="57B1FAE7" w14:textId="373914D3" w:rsidR="00F64260" w:rsidRPr="009F029C" w:rsidRDefault="00F64260" w:rsidP="00120C12">
            <w:pPr>
              <w:spacing w:line="240" w:lineRule="auto"/>
              <w:rPr>
                <w:b/>
              </w:rPr>
            </w:pPr>
          </w:p>
        </w:tc>
      </w:tr>
      <w:tr w:rsidR="00F64260" w:rsidRPr="006E3AF2" w14:paraId="43B2AD3F" w14:textId="77777777" w:rsidTr="001A6D13">
        <w:tc>
          <w:tcPr>
            <w:tcW w:w="3100" w:type="dxa"/>
            <w:noWrap/>
            <w:vAlign w:val="center"/>
          </w:tcPr>
          <w:p w14:paraId="4E1F209D" w14:textId="4AE82F19" w:rsidR="00F64260" w:rsidRDefault="00115A68" w:rsidP="003F099C">
            <w:pPr>
              <w:spacing w:line="240" w:lineRule="auto"/>
            </w:pPr>
            <w:r>
              <w:t>C.</w:t>
            </w:r>
            <w:r w:rsidR="00AA5F73">
              <w:t>5</w:t>
            </w:r>
            <w:r w:rsidR="00F6426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A442D7">
                <w:rPr>
                  <w:rStyle w:val="Hyperlink"/>
                </w:rPr>
                <w:t>Course requirements</w:t>
              </w:r>
            </w:hyperlink>
            <w:r w:rsidR="00F64260">
              <w:t xml:space="preserve"> for each program option</w:t>
            </w:r>
            <w:r w:rsidR="00D96C1E">
              <w:t>. Show the course requirements for the whole program here.</w:t>
            </w:r>
          </w:p>
        </w:tc>
        <w:tc>
          <w:tcPr>
            <w:tcW w:w="940" w:type="dxa"/>
            <w:noWrap/>
          </w:tcPr>
          <w:p w14:paraId="1B32FCFB" w14:textId="77777777" w:rsidR="00F64260" w:rsidRPr="009F029C" w:rsidRDefault="00F64260" w:rsidP="00120C12">
            <w:pPr>
              <w:spacing w:line="240" w:lineRule="auto"/>
              <w:rPr>
                <w:b/>
              </w:rPr>
            </w:pPr>
            <w:bookmarkStart w:id="19" w:name="course_reqs"/>
            <w:bookmarkEnd w:id="19"/>
          </w:p>
        </w:tc>
        <w:tc>
          <w:tcPr>
            <w:tcW w:w="6740" w:type="dxa"/>
            <w:noWrap/>
          </w:tcPr>
          <w:p w14:paraId="0E1FE9C6" w14:textId="2A3FB773" w:rsidR="00F64260" w:rsidRPr="001A6D13" w:rsidRDefault="001A6D13" w:rsidP="001A6D13">
            <w:pPr>
              <w:spacing w:line="240" w:lineRule="auto"/>
              <w:rPr>
                <w:b/>
              </w:rPr>
            </w:pPr>
            <w:r>
              <w:rPr>
                <w:b/>
              </w:rPr>
              <w:t xml:space="preserve">SMGT 201 </w:t>
            </w:r>
            <w:r w:rsidR="00E6299F" w:rsidRPr="001A6D13">
              <w:rPr>
                <w:b/>
              </w:rPr>
              <w:t>Introduction to Sports Management</w:t>
            </w:r>
            <w:r w:rsidR="00070628" w:rsidRPr="001A6D13">
              <w:rPr>
                <w:b/>
              </w:rPr>
              <w:t>- 3 CR</w:t>
            </w:r>
          </w:p>
          <w:p w14:paraId="3CAFD2F7" w14:textId="2B46443D" w:rsidR="001A6D13" w:rsidRDefault="001A6D13" w:rsidP="001A6D13">
            <w:pPr>
              <w:spacing w:line="240" w:lineRule="auto"/>
              <w:rPr>
                <w:b/>
              </w:rPr>
            </w:pPr>
            <w:r w:rsidRPr="001A6D13">
              <w:rPr>
                <w:b/>
              </w:rPr>
              <w:t>SMGT 301</w:t>
            </w:r>
            <w:r>
              <w:rPr>
                <w:b/>
              </w:rPr>
              <w:t xml:space="preserve"> </w:t>
            </w:r>
            <w:r w:rsidRPr="001A6D13">
              <w:rPr>
                <w:b/>
              </w:rPr>
              <w:t>Organization and Administration of Interscholastic Athletics</w:t>
            </w:r>
            <w:r>
              <w:rPr>
                <w:b/>
              </w:rPr>
              <w:t xml:space="preserve"> </w:t>
            </w:r>
            <w:r w:rsidRPr="001A6D13">
              <w:rPr>
                <w:b/>
              </w:rPr>
              <w:t>-3 CR</w:t>
            </w:r>
          </w:p>
          <w:p w14:paraId="41B49D65" w14:textId="2C7A8EF1" w:rsidR="001A6D13" w:rsidRPr="001A6D13" w:rsidRDefault="001A6D13" w:rsidP="001A6D13">
            <w:pPr>
              <w:spacing w:line="240" w:lineRule="auto"/>
              <w:rPr>
                <w:b/>
              </w:rPr>
            </w:pPr>
            <w:r w:rsidRPr="001A6D13">
              <w:rPr>
                <w:b/>
              </w:rPr>
              <w:t>SMGT 310</w:t>
            </w:r>
            <w:r w:rsidRPr="001A6D13">
              <w:rPr>
                <w:rFonts w:asciiTheme="minorHAnsi" w:hAnsiTheme="minorHAnsi"/>
                <w:b/>
              </w:rPr>
              <w:t xml:space="preserve"> </w:t>
            </w:r>
            <w:r w:rsidRPr="001A6D13">
              <w:rPr>
                <w:rFonts w:asciiTheme="minorHAnsi" w:hAnsiTheme="minorHAnsi" w:cs="Arial"/>
                <w:b/>
                <w:color w:val="000000" w:themeColor="text1"/>
              </w:rPr>
              <w:t>Sports Management, Finance, and Fundraising</w:t>
            </w:r>
            <w:r w:rsidRPr="001A6D13">
              <w:rPr>
                <w:rFonts w:asciiTheme="minorHAnsi" w:hAnsiTheme="minorHAnsi"/>
                <w:b/>
              </w:rPr>
              <w:t xml:space="preserve"> - </w:t>
            </w:r>
            <w:r w:rsidRPr="001A6D13">
              <w:rPr>
                <w:b/>
              </w:rPr>
              <w:t>3 CR</w:t>
            </w:r>
          </w:p>
          <w:p w14:paraId="45D4561B" w14:textId="77777777" w:rsidR="001A6D13" w:rsidRPr="001A6D13" w:rsidRDefault="001A6D13" w:rsidP="001A6D13">
            <w:pPr>
              <w:spacing w:line="240" w:lineRule="auto"/>
              <w:rPr>
                <w:b/>
              </w:rPr>
            </w:pPr>
            <w:r>
              <w:rPr>
                <w:b/>
              </w:rPr>
              <w:t xml:space="preserve">SMGT 315 </w:t>
            </w:r>
            <w:r w:rsidRPr="001A6D13">
              <w:rPr>
                <w:b/>
              </w:rPr>
              <w:t>Sport Facility and Event Management- 3CR</w:t>
            </w:r>
          </w:p>
          <w:p w14:paraId="0DA66663" w14:textId="19B0463A" w:rsidR="00F64260" w:rsidRPr="009F029C" w:rsidRDefault="001A6D13" w:rsidP="001A6D13">
            <w:pPr>
              <w:spacing w:line="240" w:lineRule="auto"/>
              <w:rPr>
                <w:b/>
              </w:rPr>
            </w:pPr>
            <w:r>
              <w:rPr>
                <w:b/>
              </w:rPr>
              <w:t xml:space="preserve">SMGT 325W </w:t>
            </w:r>
            <w:r w:rsidR="00E6299F" w:rsidRPr="001A6D13">
              <w:rPr>
                <w:b/>
              </w:rPr>
              <w:t>Sports Communication</w:t>
            </w:r>
            <w:r w:rsidR="00070628" w:rsidRPr="001A6D13">
              <w:rPr>
                <w:b/>
              </w:rPr>
              <w:t>- 3CR</w:t>
            </w:r>
          </w:p>
        </w:tc>
      </w:tr>
      <w:tr w:rsidR="00F64260" w:rsidRPr="006E3AF2" w14:paraId="07853955" w14:textId="77777777" w:rsidTr="001A6D13">
        <w:tc>
          <w:tcPr>
            <w:tcW w:w="3100" w:type="dxa"/>
            <w:noWrap/>
            <w:vAlign w:val="center"/>
          </w:tcPr>
          <w:p w14:paraId="38AD1617" w14:textId="316E5DED" w:rsidR="00F64260" w:rsidRDefault="00115A68" w:rsidP="00A442D7">
            <w:pPr>
              <w:spacing w:line="240" w:lineRule="auto"/>
            </w:pPr>
            <w:r>
              <w:t>C.</w:t>
            </w:r>
            <w:r w:rsidR="00AA5F73">
              <w:t>6</w:t>
            </w:r>
            <w:r w:rsidR="00F6426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A442D7">
                <w:rPr>
                  <w:rStyle w:val="Hyperlink"/>
                </w:rPr>
                <w:t>Credit count</w:t>
              </w:r>
            </w:hyperlink>
            <w:r>
              <w:rPr>
                <w:rStyle w:val="Hyperlink"/>
              </w:rPr>
              <w:t xml:space="preserve"> for each program option</w:t>
            </w:r>
          </w:p>
        </w:tc>
        <w:tc>
          <w:tcPr>
            <w:tcW w:w="940" w:type="dxa"/>
            <w:noWrap/>
          </w:tcPr>
          <w:p w14:paraId="63353FC7" w14:textId="77777777" w:rsidR="00F64260" w:rsidRPr="009F029C" w:rsidRDefault="00F64260" w:rsidP="00120C12">
            <w:pPr>
              <w:spacing w:line="240" w:lineRule="auto"/>
              <w:rPr>
                <w:b/>
              </w:rPr>
            </w:pPr>
            <w:bookmarkStart w:id="20" w:name="credit_count"/>
            <w:bookmarkEnd w:id="20"/>
          </w:p>
        </w:tc>
        <w:tc>
          <w:tcPr>
            <w:tcW w:w="6740" w:type="dxa"/>
            <w:noWrap/>
          </w:tcPr>
          <w:p w14:paraId="0CDCA3D1" w14:textId="409AC441" w:rsidR="00F64260" w:rsidRPr="009F029C" w:rsidRDefault="00E6299F" w:rsidP="00120C12">
            <w:pPr>
              <w:spacing w:line="240" w:lineRule="auto"/>
              <w:rPr>
                <w:b/>
              </w:rPr>
            </w:pPr>
            <w:r>
              <w:rPr>
                <w:b/>
              </w:rPr>
              <w:t>15</w:t>
            </w:r>
          </w:p>
        </w:tc>
      </w:tr>
      <w:tr w:rsidR="005E2D3D" w:rsidRPr="006E3AF2" w14:paraId="56A03B42" w14:textId="77777777" w:rsidTr="001A6D13">
        <w:tc>
          <w:tcPr>
            <w:tcW w:w="3100" w:type="dxa"/>
            <w:noWrap/>
            <w:vAlign w:val="center"/>
          </w:tcPr>
          <w:p w14:paraId="19669E96" w14:textId="562E5EE0" w:rsidR="005E2D3D" w:rsidRDefault="005E2D3D" w:rsidP="000E4E94">
            <w:pPr>
              <w:spacing w:line="240" w:lineRule="auto"/>
            </w:pPr>
            <w:r>
              <w:lastRenderedPageBreak/>
              <w:t>C.</w:t>
            </w:r>
            <w:r w:rsidR="00AA5F73">
              <w:t>7</w:t>
            </w:r>
            <w:r>
              <w:t xml:space="preserve">. </w:t>
            </w:r>
            <w:r w:rsidRPr="005E2D3D">
              <w:t>Program Accreditation</w:t>
            </w:r>
            <w:r>
              <w:t xml:space="preserve"> (if relevant)</w:t>
            </w:r>
          </w:p>
        </w:tc>
        <w:tc>
          <w:tcPr>
            <w:tcW w:w="940" w:type="dxa"/>
            <w:noWrap/>
          </w:tcPr>
          <w:p w14:paraId="10DEA6B4" w14:textId="77777777" w:rsidR="005E2D3D" w:rsidRPr="009F029C" w:rsidRDefault="005E2D3D" w:rsidP="000E4E94">
            <w:pPr>
              <w:spacing w:line="240" w:lineRule="auto"/>
              <w:rPr>
                <w:b/>
              </w:rPr>
            </w:pPr>
          </w:p>
        </w:tc>
        <w:tc>
          <w:tcPr>
            <w:tcW w:w="6740" w:type="dxa"/>
            <w:noWrap/>
          </w:tcPr>
          <w:p w14:paraId="48AE026F" w14:textId="548BDCBB" w:rsidR="005E2D3D" w:rsidRPr="009F029C" w:rsidRDefault="00E6299F" w:rsidP="000E4E94">
            <w:pPr>
              <w:spacing w:line="240" w:lineRule="auto"/>
              <w:rPr>
                <w:b/>
              </w:rPr>
            </w:pPr>
            <w:r>
              <w:rPr>
                <w:b/>
              </w:rPr>
              <w:t>ICABE</w:t>
            </w:r>
          </w:p>
        </w:tc>
      </w:tr>
      <w:tr w:rsidR="00454E79" w:rsidRPr="006E3AF2" w14:paraId="20D2CCB0" w14:textId="77777777" w:rsidTr="001A6D13">
        <w:tc>
          <w:tcPr>
            <w:tcW w:w="3100" w:type="dxa"/>
            <w:noWrap/>
            <w:vAlign w:val="center"/>
          </w:tcPr>
          <w:p w14:paraId="2BEDE556" w14:textId="1EE9D486" w:rsidR="00454E79" w:rsidRDefault="00454E79" w:rsidP="00454E79">
            <w:pPr>
              <w:spacing w:line="240" w:lineRule="auto"/>
            </w:pPr>
            <w:r>
              <w:t xml:space="preserve">C.8 </w:t>
            </w:r>
            <w:r w:rsidR="00776415">
              <w:t>Is it possible that</w:t>
            </w:r>
            <w:r>
              <w:t xml:space="preserve"> the program </w:t>
            </w:r>
            <w:r w:rsidR="00027199">
              <w:t xml:space="preserve">will </w:t>
            </w:r>
            <w:r>
              <w:t>be more than 50% online (includes hybrid)?</w:t>
            </w:r>
            <w:r w:rsidR="000801BC">
              <w:t>*</w:t>
            </w:r>
          </w:p>
        </w:tc>
        <w:tc>
          <w:tcPr>
            <w:tcW w:w="940" w:type="dxa"/>
            <w:noWrap/>
          </w:tcPr>
          <w:p w14:paraId="6083E444" w14:textId="0659466B" w:rsidR="00454E79" w:rsidRPr="009F029C" w:rsidRDefault="00454E79" w:rsidP="000E4E94">
            <w:pPr>
              <w:spacing w:line="240" w:lineRule="auto"/>
              <w:rPr>
                <w:b/>
              </w:rPr>
            </w:pPr>
          </w:p>
        </w:tc>
        <w:tc>
          <w:tcPr>
            <w:tcW w:w="6740" w:type="dxa"/>
            <w:noWrap/>
          </w:tcPr>
          <w:p w14:paraId="3ED8DE3E" w14:textId="4274FF57" w:rsidR="00454E79" w:rsidRPr="009F029C" w:rsidRDefault="00454E79" w:rsidP="000E4E94">
            <w:pPr>
              <w:spacing w:line="240" w:lineRule="auto"/>
              <w:rPr>
                <w:b/>
              </w:rPr>
            </w:pPr>
            <w:r>
              <w:rPr>
                <w:b/>
              </w:rPr>
              <w:t xml:space="preserve"> NO</w:t>
            </w:r>
          </w:p>
        </w:tc>
      </w:tr>
      <w:tr w:rsidR="00454E79" w:rsidRPr="006E3AF2" w14:paraId="63BE75DC" w14:textId="77777777" w:rsidTr="001A6D13">
        <w:tc>
          <w:tcPr>
            <w:tcW w:w="3100" w:type="dxa"/>
            <w:noWrap/>
            <w:vAlign w:val="center"/>
          </w:tcPr>
          <w:p w14:paraId="268A51B9" w14:textId="4A657F70" w:rsidR="00454E79" w:rsidRDefault="00454E79" w:rsidP="003F099C">
            <w:pPr>
              <w:spacing w:line="240" w:lineRule="auto"/>
            </w:pPr>
            <w:r>
              <w:t xml:space="preserve">C.9 Will any classes be offered at sites other than RIC campus or </w:t>
            </w:r>
            <w:r w:rsidR="000801BC">
              <w:t xml:space="preserve">the RI Nursing </w:t>
            </w:r>
            <w:r w:rsidR="008E07D4">
              <w:t xml:space="preserve">Ed. </w:t>
            </w:r>
            <w:proofErr w:type="gramStart"/>
            <w:r w:rsidR="000801BC">
              <w:t>Cente</w:t>
            </w:r>
            <w:r w:rsidR="008E07D4">
              <w:t>r</w:t>
            </w:r>
            <w:r w:rsidR="000801BC">
              <w:t>?*</w:t>
            </w:r>
            <w:proofErr w:type="gramEnd"/>
          </w:p>
        </w:tc>
        <w:tc>
          <w:tcPr>
            <w:tcW w:w="940" w:type="dxa"/>
            <w:noWrap/>
          </w:tcPr>
          <w:p w14:paraId="236DE90C" w14:textId="29EF3088" w:rsidR="00454E79" w:rsidRPr="009F029C" w:rsidRDefault="00454E79" w:rsidP="00120C12">
            <w:pPr>
              <w:spacing w:line="240" w:lineRule="auto"/>
              <w:rPr>
                <w:b/>
              </w:rPr>
            </w:pPr>
          </w:p>
        </w:tc>
        <w:tc>
          <w:tcPr>
            <w:tcW w:w="6740" w:type="dxa"/>
            <w:noWrap/>
          </w:tcPr>
          <w:p w14:paraId="4A9225BC" w14:textId="38D9176A" w:rsidR="00454E79" w:rsidRPr="009F029C" w:rsidRDefault="000801BC" w:rsidP="00120C12">
            <w:pPr>
              <w:spacing w:line="240" w:lineRule="auto"/>
              <w:rPr>
                <w:b/>
              </w:rPr>
            </w:pPr>
            <w:r>
              <w:rPr>
                <w:b/>
              </w:rPr>
              <w:t xml:space="preserve"> </w:t>
            </w:r>
            <w:r w:rsidRPr="000852AB">
              <w:rPr>
                <w:b/>
              </w:rPr>
              <w:t>NO</w:t>
            </w:r>
          </w:p>
        </w:tc>
      </w:tr>
      <w:tr w:rsidR="00934884" w:rsidRPr="006E3AF2" w14:paraId="0F4516EB" w14:textId="77777777" w:rsidTr="001A6D13">
        <w:tc>
          <w:tcPr>
            <w:tcW w:w="3100" w:type="dxa"/>
            <w:noWrap/>
            <w:vAlign w:val="center"/>
          </w:tcPr>
          <w:p w14:paraId="5FFE67FA" w14:textId="20E8C123" w:rsidR="00934884" w:rsidRDefault="00934884" w:rsidP="00934884">
            <w:pPr>
              <w:spacing w:line="240" w:lineRule="auto"/>
            </w:pPr>
            <w:r>
              <w:t xml:space="preserve">C. </w:t>
            </w:r>
            <w:r w:rsidR="008E07D4">
              <w:t>10. Do these revisions reflect more than 25% change to the</w:t>
            </w:r>
            <w:r w:rsidR="00D713D7">
              <w:t xml:space="preserve"> </w:t>
            </w:r>
            <w:hyperlink r:id="rId10" w:tooltip="NECHE needs to receive the substantive change proposal at least six months prior to our first offering the program." w:history="1">
              <w:r w:rsidR="00D713D7">
                <w:rPr>
                  <w:rStyle w:val="Hyperlink"/>
                </w:rPr>
                <w:t xml:space="preserve">program?* </w:t>
              </w:r>
            </w:hyperlink>
          </w:p>
        </w:tc>
        <w:tc>
          <w:tcPr>
            <w:tcW w:w="940" w:type="dxa"/>
            <w:noWrap/>
          </w:tcPr>
          <w:p w14:paraId="3DE7C5B3" w14:textId="58258F55" w:rsidR="00934884" w:rsidRDefault="00934884" w:rsidP="00120C12">
            <w:pPr>
              <w:spacing w:line="240" w:lineRule="auto"/>
              <w:rPr>
                <w:b/>
              </w:rPr>
            </w:pPr>
          </w:p>
        </w:tc>
        <w:tc>
          <w:tcPr>
            <w:tcW w:w="6740" w:type="dxa"/>
            <w:noWrap/>
          </w:tcPr>
          <w:p w14:paraId="7F9842BC" w14:textId="4E04960F" w:rsidR="00934884" w:rsidRDefault="008E07D4" w:rsidP="00120C12">
            <w:pPr>
              <w:spacing w:line="240" w:lineRule="auto"/>
              <w:rPr>
                <w:b/>
              </w:rPr>
            </w:pPr>
            <w:r>
              <w:rPr>
                <w:b/>
              </w:rPr>
              <w:t xml:space="preserve"> </w:t>
            </w:r>
            <w:r w:rsidRPr="000852AB">
              <w:rPr>
                <w:b/>
              </w:rPr>
              <w:t>NO</w:t>
            </w:r>
          </w:p>
        </w:tc>
      </w:tr>
      <w:tr w:rsidR="00F3256C" w:rsidRPr="006E3AF2" w14:paraId="68C8592C" w14:textId="77777777" w:rsidTr="001A6D13">
        <w:tc>
          <w:tcPr>
            <w:tcW w:w="3100" w:type="dxa"/>
            <w:noWrap/>
            <w:vAlign w:val="center"/>
          </w:tcPr>
          <w:p w14:paraId="20B54EE3" w14:textId="544275C3" w:rsidR="00F3256C" w:rsidRDefault="00115A68" w:rsidP="003F099C">
            <w:pPr>
              <w:spacing w:line="240" w:lineRule="auto"/>
            </w:pPr>
            <w:r>
              <w:t>C.</w:t>
            </w:r>
            <w:r w:rsidR="000801BC">
              <w:t>1</w:t>
            </w:r>
            <w:r w:rsidR="008E07D4">
              <w:t>1</w:t>
            </w:r>
            <w:r w:rsidR="005E2D3D">
              <w:t>.</w:t>
            </w:r>
            <w:r w:rsidR="00F3256C">
              <w:t xml:space="preserve">  </w:t>
            </w:r>
            <w:hyperlink r:id="rId11" w:tooltip="You may also include here expected methods of assessing student learning and possible career paths for students taking this program" w:history="1">
              <w:r w:rsidR="00F3256C" w:rsidRPr="00F3256C">
                <w:rPr>
                  <w:rStyle w:val="Hyperlink"/>
                </w:rPr>
                <w:t>Program goals</w:t>
              </w:r>
            </w:hyperlink>
          </w:p>
          <w:p w14:paraId="201C38CF" w14:textId="3CEACCEC" w:rsidR="00880392" w:rsidRDefault="00880392" w:rsidP="003F099C">
            <w:pPr>
              <w:spacing w:line="240" w:lineRule="auto"/>
            </w:pPr>
            <w:r>
              <w:t>Needed for all new programs</w:t>
            </w:r>
          </w:p>
        </w:tc>
        <w:tc>
          <w:tcPr>
            <w:tcW w:w="940" w:type="dxa"/>
            <w:noWrap/>
          </w:tcPr>
          <w:p w14:paraId="75BC195D" w14:textId="77777777" w:rsidR="00F3256C" w:rsidRPr="009F029C" w:rsidRDefault="00F3256C" w:rsidP="00120C12">
            <w:pPr>
              <w:spacing w:line="240" w:lineRule="auto"/>
              <w:rPr>
                <w:b/>
              </w:rPr>
            </w:pPr>
          </w:p>
        </w:tc>
        <w:tc>
          <w:tcPr>
            <w:tcW w:w="6740" w:type="dxa"/>
            <w:noWrap/>
          </w:tcPr>
          <w:p w14:paraId="23809A15" w14:textId="2316F667" w:rsidR="00F3256C" w:rsidRDefault="00E6299F" w:rsidP="00E6299F">
            <w:pPr>
              <w:spacing w:line="240" w:lineRule="auto"/>
              <w:rPr>
                <w:b/>
              </w:rPr>
            </w:pPr>
            <w:r w:rsidRPr="00E6299F">
              <w:rPr>
                <w:b/>
              </w:rPr>
              <w:t>1.</w:t>
            </w:r>
            <w:r w:rsidR="0089772D">
              <w:rPr>
                <w:b/>
              </w:rPr>
              <w:t xml:space="preserve"> Students will</w:t>
            </w:r>
            <w:r>
              <w:rPr>
                <w:b/>
              </w:rPr>
              <w:t xml:space="preserve"> </w:t>
            </w:r>
            <w:r w:rsidR="0089772D">
              <w:rPr>
                <w:b/>
              </w:rPr>
              <w:t>u</w:t>
            </w:r>
            <w:r w:rsidRPr="00E6299F">
              <w:rPr>
                <w:b/>
              </w:rPr>
              <w:t>nderstand Inter</w:t>
            </w:r>
            <w:r>
              <w:rPr>
                <w:b/>
              </w:rPr>
              <w:t>scholastic Athletics and its role in the mission of secondary education</w:t>
            </w:r>
          </w:p>
          <w:p w14:paraId="68FC2B68" w14:textId="5821A5F7" w:rsidR="00E6299F" w:rsidRDefault="00E6299F" w:rsidP="00E6299F">
            <w:pPr>
              <w:spacing w:line="240" w:lineRule="auto"/>
              <w:rPr>
                <w:b/>
              </w:rPr>
            </w:pPr>
            <w:r>
              <w:rPr>
                <w:b/>
              </w:rPr>
              <w:t xml:space="preserve">2. </w:t>
            </w:r>
            <w:r w:rsidR="0089772D">
              <w:rPr>
                <w:b/>
              </w:rPr>
              <w:t>Students will be able</w:t>
            </w:r>
            <w:r>
              <w:rPr>
                <w:b/>
              </w:rPr>
              <w:t xml:space="preserve"> to work within the structure of a high school administration</w:t>
            </w:r>
          </w:p>
          <w:p w14:paraId="1DE8DF5B" w14:textId="07BED7C3" w:rsidR="0089772D" w:rsidRDefault="0089772D" w:rsidP="00E6299F">
            <w:pPr>
              <w:spacing w:line="240" w:lineRule="auto"/>
              <w:rPr>
                <w:b/>
              </w:rPr>
            </w:pPr>
            <w:r>
              <w:rPr>
                <w:b/>
              </w:rPr>
              <w:t>3. Students will understand the ethical and legal issues surrounding interscholastic athletics.</w:t>
            </w:r>
          </w:p>
          <w:p w14:paraId="7E6D05E7" w14:textId="1AD5DB53" w:rsidR="00E6299F" w:rsidRDefault="00E458D6" w:rsidP="00E6299F">
            <w:pPr>
              <w:spacing w:line="240" w:lineRule="auto"/>
              <w:rPr>
                <w:b/>
              </w:rPr>
            </w:pPr>
            <w:r>
              <w:rPr>
                <w:b/>
              </w:rPr>
              <w:t>4</w:t>
            </w:r>
            <w:r w:rsidR="00E6299F">
              <w:rPr>
                <w:b/>
              </w:rPr>
              <w:t xml:space="preserve">. </w:t>
            </w:r>
            <w:r w:rsidR="0089772D">
              <w:rPr>
                <w:b/>
              </w:rPr>
              <w:t>Students will gain a</w:t>
            </w:r>
            <w:r w:rsidR="00E6299F">
              <w:rPr>
                <w:b/>
              </w:rPr>
              <w:t xml:space="preserve"> fundamental knowledge of </w:t>
            </w:r>
            <w:r w:rsidR="0089772D">
              <w:rPr>
                <w:b/>
              </w:rPr>
              <w:t>the functions of management in interscholastic sports</w:t>
            </w:r>
            <w:r w:rsidR="00FA20CF">
              <w:rPr>
                <w:b/>
              </w:rPr>
              <w:t xml:space="preserve">. </w:t>
            </w:r>
          </w:p>
          <w:p w14:paraId="6F2C655C" w14:textId="0B71D53D" w:rsidR="00FA20CF" w:rsidRDefault="00E458D6" w:rsidP="00E6299F">
            <w:pPr>
              <w:spacing w:line="240" w:lineRule="auto"/>
              <w:rPr>
                <w:b/>
              </w:rPr>
            </w:pPr>
            <w:r>
              <w:rPr>
                <w:b/>
              </w:rPr>
              <w:t>5</w:t>
            </w:r>
            <w:r w:rsidR="00FA20CF">
              <w:rPr>
                <w:b/>
              </w:rPr>
              <w:t xml:space="preserve">. </w:t>
            </w:r>
            <w:r w:rsidR="0089772D">
              <w:rPr>
                <w:b/>
              </w:rPr>
              <w:t xml:space="preserve"> Students will learn h</w:t>
            </w:r>
            <w:r w:rsidR="00FA20CF">
              <w:rPr>
                <w:b/>
              </w:rPr>
              <w:t>ow to formulate policies and procedures for high school athletes</w:t>
            </w:r>
          </w:p>
          <w:p w14:paraId="2E8A40DF" w14:textId="0C37C626" w:rsidR="00FA20CF" w:rsidRDefault="00E458D6" w:rsidP="00E6299F">
            <w:pPr>
              <w:spacing w:line="240" w:lineRule="auto"/>
              <w:rPr>
                <w:b/>
              </w:rPr>
            </w:pPr>
            <w:r>
              <w:rPr>
                <w:b/>
              </w:rPr>
              <w:t>6</w:t>
            </w:r>
            <w:r w:rsidR="00FA20CF">
              <w:rPr>
                <w:b/>
              </w:rPr>
              <w:t>.</w:t>
            </w:r>
            <w:r>
              <w:rPr>
                <w:b/>
              </w:rPr>
              <w:t xml:space="preserve"> Students will</w:t>
            </w:r>
            <w:r w:rsidR="00FA20CF">
              <w:rPr>
                <w:b/>
              </w:rPr>
              <w:t xml:space="preserve"> </w:t>
            </w:r>
            <w:r>
              <w:rPr>
                <w:b/>
              </w:rPr>
              <w:t>d</w:t>
            </w:r>
            <w:r w:rsidR="00FA20CF">
              <w:rPr>
                <w:b/>
              </w:rPr>
              <w:t xml:space="preserve">evelop leadership </w:t>
            </w:r>
            <w:r w:rsidR="00B72270">
              <w:rPr>
                <w:b/>
              </w:rPr>
              <w:t>skills</w:t>
            </w:r>
            <w:r w:rsidR="00FA20CF">
              <w:rPr>
                <w:b/>
              </w:rPr>
              <w:t xml:space="preserve"> to lead a school’s athletic program.</w:t>
            </w:r>
          </w:p>
          <w:p w14:paraId="4E5130CF" w14:textId="45F20BB2" w:rsidR="00FA20CF" w:rsidRDefault="00E458D6" w:rsidP="00E6299F">
            <w:pPr>
              <w:spacing w:line="240" w:lineRule="auto"/>
              <w:rPr>
                <w:b/>
              </w:rPr>
            </w:pPr>
            <w:r>
              <w:rPr>
                <w:b/>
              </w:rPr>
              <w:t>7</w:t>
            </w:r>
            <w:r w:rsidR="00FA20CF">
              <w:rPr>
                <w:b/>
              </w:rPr>
              <w:t>.</w:t>
            </w:r>
            <w:r>
              <w:rPr>
                <w:b/>
              </w:rPr>
              <w:t xml:space="preserve"> Students will develop effective problem solving and</w:t>
            </w:r>
            <w:r w:rsidR="00FA20CF">
              <w:rPr>
                <w:b/>
              </w:rPr>
              <w:t xml:space="preserve"> effective decision making</w:t>
            </w:r>
            <w:r w:rsidR="00B72270">
              <w:rPr>
                <w:b/>
              </w:rPr>
              <w:t xml:space="preserve"> skills</w:t>
            </w:r>
            <w:r w:rsidR="00FA20CF">
              <w:rPr>
                <w:b/>
              </w:rPr>
              <w:t>.</w:t>
            </w:r>
          </w:p>
          <w:p w14:paraId="4C25FF84" w14:textId="3304F9AF" w:rsidR="00FA20CF" w:rsidRPr="00E6299F" w:rsidRDefault="00E458D6" w:rsidP="00E6299F">
            <w:pPr>
              <w:spacing w:line="240" w:lineRule="auto"/>
              <w:rPr>
                <w:b/>
              </w:rPr>
            </w:pPr>
            <w:r>
              <w:rPr>
                <w:b/>
              </w:rPr>
              <w:t>8. Students will learn how to support the well</w:t>
            </w:r>
            <w:r w:rsidR="001A6D13">
              <w:rPr>
                <w:b/>
              </w:rPr>
              <w:t>-</w:t>
            </w:r>
            <w:r>
              <w:rPr>
                <w:b/>
              </w:rPr>
              <w:t>being of student athletes.</w:t>
            </w:r>
          </w:p>
        </w:tc>
      </w:tr>
      <w:tr w:rsidR="00454E79" w:rsidRPr="006E3AF2" w14:paraId="7DF5BEDD" w14:textId="77777777" w:rsidTr="001A6D13">
        <w:tc>
          <w:tcPr>
            <w:tcW w:w="3100" w:type="dxa"/>
            <w:noWrap/>
            <w:vAlign w:val="center"/>
          </w:tcPr>
          <w:p w14:paraId="6F4C1EEB" w14:textId="1E74945A" w:rsidR="00454E79" w:rsidRDefault="00454E79" w:rsidP="006B70BA">
            <w:pPr>
              <w:spacing w:line="240" w:lineRule="auto"/>
            </w:pPr>
            <w:r>
              <w:t>C.</w:t>
            </w:r>
            <w:r w:rsidR="000801BC">
              <w:t>1</w:t>
            </w:r>
            <w:r w:rsidR="008E07D4">
              <w:t>2</w:t>
            </w:r>
            <w:r w:rsidR="000801BC">
              <w:t xml:space="preserve">. </w:t>
            </w:r>
            <w:r>
              <w:t xml:space="preserve"> Other changes if any</w:t>
            </w:r>
          </w:p>
        </w:tc>
        <w:tc>
          <w:tcPr>
            <w:tcW w:w="940" w:type="dxa"/>
            <w:noWrap/>
          </w:tcPr>
          <w:p w14:paraId="564B030C" w14:textId="77777777" w:rsidR="00454E79" w:rsidRPr="009F029C" w:rsidRDefault="00454E79" w:rsidP="006B70BA">
            <w:pPr>
              <w:spacing w:line="240" w:lineRule="auto"/>
              <w:rPr>
                <w:b/>
              </w:rPr>
            </w:pPr>
          </w:p>
        </w:tc>
        <w:tc>
          <w:tcPr>
            <w:tcW w:w="6740" w:type="dxa"/>
            <w:noWrap/>
          </w:tcPr>
          <w:p w14:paraId="16C0CFEF" w14:textId="77777777" w:rsidR="00454E79" w:rsidRPr="009F029C" w:rsidRDefault="00454E79" w:rsidP="006B70BA">
            <w:pPr>
              <w:spacing w:line="240" w:lineRule="auto"/>
              <w:rPr>
                <w:b/>
              </w:rPr>
            </w:pPr>
          </w:p>
        </w:tc>
      </w:tr>
    </w:tbl>
    <w:p w14:paraId="48B1CD32" w14:textId="3554E898" w:rsidR="00F64260" w:rsidRDefault="000801BC">
      <w:pPr>
        <w:spacing w:line="240" w:lineRule="auto"/>
      </w:pPr>
      <w:r>
        <w:t>* If answered YES to either of these questions will need to inform Institutional Research and get their acknowledgement on the signature page.</w:t>
      </w:r>
    </w:p>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794545CA" w14:textId="1BD1A37B" w:rsidR="00115A68" w:rsidRDefault="006970B0" w:rsidP="00115A68">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746D62D" w14:textId="76F9B04E" w:rsidR="00115A68" w:rsidRPr="001B2E3A" w:rsidRDefault="00115A68" w:rsidP="00115A68">
      <w:pPr>
        <w:pStyle w:val="Heading5"/>
      </w:pPr>
      <w:r>
        <w:lastRenderedPageBreak/>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20"/>
        <w:gridCol w:w="3237"/>
        <w:gridCol w:w="3138"/>
        <w:gridCol w:w="1285"/>
      </w:tblGrid>
      <w:tr w:rsidR="00115A68" w:rsidRPr="00402602" w14:paraId="67436BB2" w14:textId="77777777" w:rsidTr="00421D4C">
        <w:trPr>
          <w:cantSplit/>
          <w:tblHeader/>
        </w:trPr>
        <w:tc>
          <w:tcPr>
            <w:tcW w:w="3120" w:type="dxa"/>
            <w:vAlign w:val="center"/>
          </w:tcPr>
          <w:p w14:paraId="739386E3" w14:textId="77777777" w:rsidR="00115A68" w:rsidRPr="00A83A6C" w:rsidRDefault="00115A68" w:rsidP="0015571B">
            <w:pPr>
              <w:pStyle w:val="Heading5"/>
              <w:jc w:val="center"/>
            </w:pPr>
            <w:r w:rsidRPr="00A83A6C">
              <w:t>Name</w:t>
            </w:r>
          </w:p>
        </w:tc>
        <w:tc>
          <w:tcPr>
            <w:tcW w:w="3237" w:type="dxa"/>
            <w:vAlign w:val="center"/>
          </w:tcPr>
          <w:p w14:paraId="7DAAAD1E" w14:textId="77777777" w:rsidR="00115A68" w:rsidRPr="00A83A6C" w:rsidRDefault="00115A68" w:rsidP="0015571B">
            <w:pPr>
              <w:pStyle w:val="Heading5"/>
              <w:jc w:val="center"/>
            </w:pPr>
            <w:r w:rsidRPr="00A83A6C">
              <w:t>Position/affiliation</w:t>
            </w:r>
          </w:p>
        </w:tc>
        <w:bookmarkStart w:id="21" w:name="_Signature"/>
        <w:bookmarkEnd w:id="21"/>
        <w:tc>
          <w:tcPr>
            <w:tcW w:w="313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027D1B" w14:paraId="35F43AFD" w14:textId="77777777" w:rsidTr="00421D4C">
        <w:trPr>
          <w:cantSplit/>
          <w:trHeight w:val="489"/>
        </w:trPr>
        <w:tc>
          <w:tcPr>
            <w:tcW w:w="3120" w:type="dxa"/>
            <w:vAlign w:val="center"/>
          </w:tcPr>
          <w:p w14:paraId="5FBD2281" w14:textId="77777777" w:rsidR="00027D1B" w:rsidRDefault="00027D1B" w:rsidP="00DC0C85">
            <w:pPr>
              <w:spacing w:line="240" w:lineRule="auto"/>
            </w:pPr>
            <w:r>
              <w:t>Marianne Raimondo</w:t>
            </w:r>
          </w:p>
        </w:tc>
        <w:tc>
          <w:tcPr>
            <w:tcW w:w="3237" w:type="dxa"/>
            <w:vAlign w:val="center"/>
          </w:tcPr>
          <w:p w14:paraId="75E1900B" w14:textId="77777777" w:rsidR="00027D1B" w:rsidRDefault="00027D1B" w:rsidP="00DC0C85">
            <w:pPr>
              <w:spacing w:line="240" w:lineRule="auto"/>
            </w:pPr>
            <w:r>
              <w:t>Dean of School of Business</w:t>
            </w:r>
          </w:p>
        </w:tc>
        <w:tc>
          <w:tcPr>
            <w:tcW w:w="3138" w:type="dxa"/>
            <w:vAlign w:val="center"/>
          </w:tcPr>
          <w:p w14:paraId="695FE663" w14:textId="68E3B4F1" w:rsidR="00027D1B" w:rsidRDefault="00FB0572" w:rsidP="00DC0C85">
            <w:pPr>
              <w:spacing w:line="240" w:lineRule="auto"/>
            </w:pPr>
            <w:r>
              <w:t>*</w:t>
            </w:r>
            <w:proofErr w:type="gramStart"/>
            <w:r>
              <w:t>approved</w:t>
            </w:r>
            <w:proofErr w:type="gramEnd"/>
            <w:r>
              <w:t xml:space="preserve"> by email</w:t>
            </w:r>
          </w:p>
        </w:tc>
        <w:tc>
          <w:tcPr>
            <w:tcW w:w="1285" w:type="dxa"/>
            <w:vAlign w:val="center"/>
          </w:tcPr>
          <w:p w14:paraId="1F164F7D" w14:textId="35BC525E" w:rsidR="00027D1B" w:rsidRDefault="00FB0572" w:rsidP="00DC0C85">
            <w:pPr>
              <w:spacing w:line="240" w:lineRule="auto"/>
            </w:pPr>
            <w:r>
              <w:t>4/28/2023</w:t>
            </w:r>
          </w:p>
        </w:tc>
      </w:tr>
      <w:tr w:rsidR="00421D4C" w14:paraId="332D9BF3" w14:textId="77777777" w:rsidTr="00421D4C">
        <w:trPr>
          <w:cantSplit/>
          <w:trHeight w:val="489"/>
        </w:trPr>
        <w:tc>
          <w:tcPr>
            <w:tcW w:w="3120" w:type="dxa"/>
            <w:vAlign w:val="center"/>
          </w:tcPr>
          <w:p w14:paraId="5EE645D3" w14:textId="77DDCB40" w:rsidR="00421D4C" w:rsidRDefault="00421D4C" w:rsidP="00421D4C">
            <w:pPr>
              <w:spacing w:line="240" w:lineRule="auto"/>
            </w:pPr>
            <w:r>
              <w:t xml:space="preserve">David Blanchette </w:t>
            </w:r>
            <w:r w:rsidR="002A355D">
              <w:t>or</w:t>
            </w:r>
            <w:r>
              <w:t xml:space="preserve"> Michael Casey</w:t>
            </w:r>
          </w:p>
        </w:tc>
        <w:tc>
          <w:tcPr>
            <w:tcW w:w="3237" w:type="dxa"/>
            <w:vAlign w:val="center"/>
          </w:tcPr>
          <w:p w14:paraId="4311A178" w14:textId="00292D10" w:rsidR="00421D4C" w:rsidRDefault="00421D4C" w:rsidP="00421D4C">
            <w:pPr>
              <w:spacing w:line="240" w:lineRule="auto"/>
            </w:pPr>
            <w:r>
              <w:t>Chair of Management and Marketing Department</w:t>
            </w:r>
          </w:p>
        </w:tc>
        <w:tc>
          <w:tcPr>
            <w:tcW w:w="3138" w:type="dxa"/>
            <w:vAlign w:val="center"/>
          </w:tcPr>
          <w:p w14:paraId="166C4F10" w14:textId="77C476A4" w:rsidR="00421D4C" w:rsidRDefault="00421D4C" w:rsidP="00421D4C">
            <w:pPr>
              <w:spacing w:line="240" w:lineRule="auto"/>
            </w:pPr>
            <w:r>
              <w:t>*</w:t>
            </w:r>
            <w:proofErr w:type="gramStart"/>
            <w:r>
              <w:t>approved</w:t>
            </w:r>
            <w:proofErr w:type="gramEnd"/>
            <w:r>
              <w:t xml:space="preserve"> by email</w:t>
            </w:r>
          </w:p>
        </w:tc>
        <w:tc>
          <w:tcPr>
            <w:tcW w:w="1285" w:type="dxa"/>
            <w:vAlign w:val="center"/>
          </w:tcPr>
          <w:p w14:paraId="5421E3D1" w14:textId="45B7135B" w:rsidR="00421D4C" w:rsidRDefault="00421D4C" w:rsidP="00421D4C">
            <w:pPr>
              <w:spacing w:line="240" w:lineRule="auto"/>
            </w:pPr>
            <w:r>
              <w:t>5/8/2023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2" w:name="acknowledge"/>
        <w:bookmarkEnd w:id="22"/>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3" w:name="Signature_2"/>
            <w:bookmarkEnd w:id="23"/>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B678" w14:textId="77777777" w:rsidR="00C424DF" w:rsidRDefault="00C424DF" w:rsidP="00FA78CA">
      <w:pPr>
        <w:spacing w:line="240" w:lineRule="auto"/>
      </w:pPr>
      <w:r>
        <w:separator/>
      </w:r>
    </w:p>
  </w:endnote>
  <w:endnote w:type="continuationSeparator" w:id="0">
    <w:p w14:paraId="7CB745BE" w14:textId="77777777" w:rsidR="00C424DF" w:rsidRDefault="00C424DF"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9931" w14:textId="77777777" w:rsidR="00A25BF7" w:rsidRDefault="00A25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9F33" w14:textId="77777777" w:rsidR="00A25BF7" w:rsidRDefault="00A25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A43B" w14:textId="77777777" w:rsidR="00C424DF" w:rsidRDefault="00C424DF" w:rsidP="00FA78CA">
      <w:pPr>
        <w:spacing w:line="240" w:lineRule="auto"/>
      </w:pPr>
      <w:r>
        <w:separator/>
      </w:r>
    </w:p>
  </w:footnote>
  <w:footnote w:type="continuationSeparator" w:id="0">
    <w:p w14:paraId="34CE7D04" w14:textId="77777777" w:rsidR="00C424DF" w:rsidRDefault="00C424DF"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0BDA" w14:textId="77777777" w:rsidR="00A25BF7" w:rsidRDefault="00A25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91A4379"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1A6D13">
      <w:rPr>
        <w:color w:val="4F6228"/>
      </w:rPr>
      <w:t>22-23-17</w:t>
    </w:r>
    <w:r w:rsidR="00A25BF7">
      <w:rPr>
        <w:color w:val="4F6228"/>
      </w:rPr>
      <w:t>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1A6D13">
      <w:rPr>
        <w:color w:val="4F6228"/>
      </w:rPr>
      <w:t>5/3/2023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3E9D" w14:textId="77777777" w:rsidR="00A25BF7" w:rsidRDefault="00A25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B0328"/>
    <w:multiLevelType w:val="hybridMultilevel"/>
    <w:tmpl w:val="7FFEB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07524835">
    <w:abstractNumId w:val="12"/>
  </w:num>
  <w:num w:numId="2" w16cid:durableId="1651982205">
    <w:abstractNumId w:val="3"/>
  </w:num>
  <w:num w:numId="3" w16cid:durableId="1056587645">
    <w:abstractNumId w:val="9"/>
  </w:num>
  <w:num w:numId="4" w16cid:durableId="680426315">
    <w:abstractNumId w:val="1"/>
  </w:num>
  <w:num w:numId="5" w16cid:durableId="1941140164">
    <w:abstractNumId w:val="5"/>
  </w:num>
  <w:num w:numId="6" w16cid:durableId="61610968">
    <w:abstractNumId w:val="13"/>
  </w:num>
  <w:num w:numId="7" w16cid:durableId="1885556488">
    <w:abstractNumId w:val="2"/>
  </w:num>
  <w:num w:numId="8" w16cid:durableId="642931365">
    <w:abstractNumId w:val="8"/>
  </w:num>
  <w:num w:numId="9" w16cid:durableId="208155360">
    <w:abstractNumId w:val="11"/>
  </w:num>
  <w:num w:numId="10" w16cid:durableId="1949657358">
    <w:abstractNumId w:val="4"/>
  </w:num>
  <w:num w:numId="11" w16cid:durableId="1205799051">
    <w:abstractNumId w:val="14"/>
  </w:num>
  <w:num w:numId="12" w16cid:durableId="1181579748">
    <w:abstractNumId w:val="7"/>
  </w:num>
  <w:num w:numId="13" w16cid:durableId="1277562814">
    <w:abstractNumId w:val="0"/>
  </w:num>
  <w:num w:numId="14" w16cid:durableId="2053379981">
    <w:abstractNumId w:val="6"/>
  </w:num>
  <w:num w:numId="15" w16cid:durableId="7103482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05ACA"/>
    <w:rsid w:val="00010085"/>
    <w:rsid w:val="00013152"/>
    <w:rsid w:val="0002048B"/>
    <w:rsid w:val="00021A47"/>
    <w:rsid w:val="00027199"/>
    <w:rsid w:val="00027D1B"/>
    <w:rsid w:val="000301C7"/>
    <w:rsid w:val="00033392"/>
    <w:rsid w:val="0004554C"/>
    <w:rsid w:val="000556B3"/>
    <w:rsid w:val="0005769F"/>
    <w:rsid w:val="00070628"/>
    <w:rsid w:val="000801BC"/>
    <w:rsid w:val="000810FF"/>
    <w:rsid w:val="000852AB"/>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A6D13"/>
    <w:rsid w:val="001B2E3A"/>
    <w:rsid w:val="001C1AD9"/>
    <w:rsid w:val="001C3A09"/>
    <w:rsid w:val="001D6E18"/>
    <w:rsid w:val="0020058E"/>
    <w:rsid w:val="00237355"/>
    <w:rsid w:val="00241866"/>
    <w:rsid w:val="002528CB"/>
    <w:rsid w:val="002578DB"/>
    <w:rsid w:val="00263D78"/>
    <w:rsid w:val="0026461B"/>
    <w:rsid w:val="00266820"/>
    <w:rsid w:val="00273B85"/>
    <w:rsid w:val="0027634D"/>
    <w:rsid w:val="00284473"/>
    <w:rsid w:val="00290E18"/>
    <w:rsid w:val="00291B84"/>
    <w:rsid w:val="00292D43"/>
    <w:rsid w:val="00293639"/>
    <w:rsid w:val="00296BA1"/>
    <w:rsid w:val="0029768B"/>
    <w:rsid w:val="002A355D"/>
    <w:rsid w:val="002A3788"/>
    <w:rsid w:val="002B1FF7"/>
    <w:rsid w:val="002B21F9"/>
    <w:rsid w:val="002B24F6"/>
    <w:rsid w:val="002B7880"/>
    <w:rsid w:val="002C3D63"/>
    <w:rsid w:val="002D0316"/>
    <w:rsid w:val="002D194C"/>
    <w:rsid w:val="002F36B8"/>
    <w:rsid w:val="003108B2"/>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1D4C"/>
    <w:rsid w:val="004254A0"/>
    <w:rsid w:val="00426C3A"/>
    <w:rsid w:val="004313E6"/>
    <w:rsid w:val="004403BD"/>
    <w:rsid w:val="00442EEA"/>
    <w:rsid w:val="00454E79"/>
    <w:rsid w:val="004779B4"/>
    <w:rsid w:val="00480FAA"/>
    <w:rsid w:val="004A07F8"/>
    <w:rsid w:val="004E57C5"/>
    <w:rsid w:val="004E79A5"/>
    <w:rsid w:val="004F1F0E"/>
    <w:rsid w:val="00517DB2"/>
    <w:rsid w:val="00526851"/>
    <w:rsid w:val="005275F1"/>
    <w:rsid w:val="00531D19"/>
    <w:rsid w:val="00541F11"/>
    <w:rsid w:val="00546D5B"/>
    <w:rsid w:val="005473BC"/>
    <w:rsid w:val="00553B10"/>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E365C"/>
    <w:rsid w:val="006E3AF2"/>
    <w:rsid w:val="006E6680"/>
    <w:rsid w:val="006F078D"/>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D6DE1"/>
    <w:rsid w:val="007F4255"/>
    <w:rsid w:val="008122C6"/>
    <w:rsid w:val="008360EF"/>
    <w:rsid w:val="00836281"/>
    <w:rsid w:val="00837253"/>
    <w:rsid w:val="0085229B"/>
    <w:rsid w:val="0085298D"/>
    <w:rsid w:val="008555D8"/>
    <w:rsid w:val="008628B1"/>
    <w:rsid w:val="00865915"/>
    <w:rsid w:val="00872775"/>
    <w:rsid w:val="008745BA"/>
    <w:rsid w:val="00880392"/>
    <w:rsid w:val="008836DF"/>
    <w:rsid w:val="00883C55"/>
    <w:rsid w:val="008847FE"/>
    <w:rsid w:val="0089234B"/>
    <w:rsid w:val="008927AF"/>
    <w:rsid w:val="0089400B"/>
    <w:rsid w:val="0089772D"/>
    <w:rsid w:val="008B1F84"/>
    <w:rsid w:val="008C08A1"/>
    <w:rsid w:val="008D52B7"/>
    <w:rsid w:val="008E07D4"/>
    <w:rsid w:val="008E0FCD"/>
    <w:rsid w:val="008E3EFA"/>
    <w:rsid w:val="008F175C"/>
    <w:rsid w:val="00905E67"/>
    <w:rsid w:val="00913143"/>
    <w:rsid w:val="00934884"/>
    <w:rsid w:val="00936421"/>
    <w:rsid w:val="00941342"/>
    <w:rsid w:val="009458D2"/>
    <w:rsid w:val="00946B20"/>
    <w:rsid w:val="00976AE1"/>
    <w:rsid w:val="0098046D"/>
    <w:rsid w:val="00984B36"/>
    <w:rsid w:val="009A4E6F"/>
    <w:rsid w:val="009A58C1"/>
    <w:rsid w:val="009B4B02"/>
    <w:rsid w:val="009C1440"/>
    <w:rsid w:val="009F029C"/>
    <w:rsid w:val="009F2F3E"/>
    <w:rsid w:val="009F6D67"/>
    <w:rsid w:val="00A01611"/>
    <w:rsid w:val="00A04A92"/>
    <w:rsid w:val="00A06E22"/>
    <w:rsid w:val="00A11DCD"/>
    <w:rsid w:val="00A25BF7"/>
    <w:rsid w:val="00A32214"/>
    <w:rsid w:val="00A442D7"/>
    <w:rsid w:val="00A54783"/>
    <w:rsid w:val="00A5525B"/>
    <w:rsid w:val="00A56D5F"/>
    <w:rsid w:val="00A6264E"/>
    <w:rsid w:val="00A703CD"/>
    <w:rsid w:val="00A76B76"/>
    <w:rsid w:val="00A83A6C"/>
    <w:rsid w:val="00A85BAB"/>
    <w:rsid w:val="00A87611"/>
    <w:rsid w:val="00A94504"/>
    <w:rsid w:val="00A94B5A"/>
    <w:rsid w:val="00A960DC"/>
    <w:rsid w:val="00AA5F73"/>
    <w:rsid w:val="00AC3032"/>
    <w:rsid w:val="00AC3CA8"/>
    <w:rsid w:val="00AC7094"/>
    <w:rsid w:val="00AE5302"/>
    <w:rsid w:val="00AE552A"/>
    <w:rsid w:val="00AE78C2"/>
    <w:rsid w:val="00AE7A3D"/>
    <w:rsid w:val="00B03B59"/>
    <w:rsid w:val="00B12BAB"/>
    <w:rsid w:val="00B20954"/>
    <w:rsid w:val="00B24AAC"/>
    <w:rsid w:val="00B26F16"/>
    <w:rsid w:val="00B35315"/>
    <w:rsid w:val="00B43A5D"/>
    <w:rsid w:val="00B4771F"/>
    <w:rsid w:val="00B4784B"/>
    <w:rsid w:val="00B51B79"/>
    <w:rsid w:val="00B605CE"/>
    <w:rsid w:val="00B649C4"/>
    <w:rsid w:val="00B72270"/>
    <w:rsid w:val="00B77369"/>
    <w:rsid w:val="00B82B64"/>
    <w:rsid w:val="00B85F49"/>
    <w:rsid w:val="00B862BF"/>
    <w:rsid w:val="00B87B39"/>
    <w:rsid w:val="00BB11B9"/>
    <w:rsid w:val="00BC2A73"/>
    <w:rsid w:val="00BC42B6"/>
    <w:rsid w:val="00BF1795"/>
    <w:rsid w:val="00BF30C5"/>
    <w:rsid w:val="00C0654C"/>
    <w:rsid w:val="00C11283"/>
    <w:rsid w:val="00C12C00"/>
    <w:rsid w:val="00C25F9D"/>
    <w:rsid w:val="00C31E83"/>
    <w:rsid w:val="00C344AB"/>
    <w:rsid w:val="00C424DF"/>
    <w:rsid w:val="00C518C1"/>
    <w:rsid w:val="00C53751"/>
    <w:rsid w:val="00C57281"/>
    <w:rsid w:val="00C61286"/>
    <w:rsid w:val="00C63F4F"/>
    <w:rsid w:val="00C823AC"/>
    <w:rsid w:val="00C94576"/>
    <w:rsid w:val="00C969FA"/>
    <w:rsid w:val="00C97577"/>
    <w:rsid w:val="00CA71A8"/>
    <w:rsid w:val="00CC03A7"/>
    <w:rsid w:val="00CC3E7A"/>
    <w:rsid w:val="00CC792F"/>
    <w:rsid w:val="00CD18DD"/>
    <w:rsid w:val="00CD4615"/>
    <w:rsid w:val="00CF0458"/>
    <w:rsid w:val="00CF0A1D"/>
    <w:rsid w:val="00D10816"/>
    <w:rsid w:val="00D32378"/>
    <w:rsid w:val="00D56C09"/>
    <w:rsid w:val="00D64DF4"/>
    <w:rsid w:val="00D65F02"/>
    <w:rsid w:val="00D713D7"/>
    <w:rsid w:val="00D75B84"/>
    <w:rsid w:val="00D75FF8"/>
    <w:rsid w:val="00D968DA"/>
    <w:rsid w:val="00D96C1E"/>
    <w:rsid w:val="00DA1CC6"/>
    <w:rsid w:val="00DA73A0"/>
    <w:rsid w:val="00DB23D4"/>
    <w:rsid w:val="00DB63D4"/>
    <w:rsid w:val="00DC0277"/>
    <w:rsid w:val="00DC15D9"/>
    <w:rsid w:val="00DD69AE"/>
    <w:rsid w:val="00DE2B7A"/>
    <w:rsid w:val="00DF4FCD"/>
    <w:rsid w:val="00DF7C07"/>
    <w:rsid w:val="00E36899"/>
    <w:rsid w:val="00E36AF7"/>
    <w:rsid w:val="00E43EBD"/>
    <w:rsid w:val="00E458D6"/>
    <w:rsid w:val="00E4755D"/>
    <w:rsid w:val="00E500F9"/>
    <w:rsid w:val="00E60627"/>
    <w:rsid w:val="00E6299F"/>
    <w:rsid w:val="00E641DE"/>
    <w:rsid w:val="00E70106"/>
    <w:rsid w:val="00E95018"/>
    <w:rsid w:val="00EB33FD"/>
    <w:rsid w:val="00EC194E"/>
    <w:rsid w:val="00EC38F4"/>
    <w:rsid w:val="00EC63A4"/>
    <w:rsid w:val="00EC7B24"/>
    <w:rsid w:val="00ED0D58"/>
    <w:rsid w:val="00ED1712"/>
    <w:rsid w:val="00F03DB6"/>
    <w:rsid w:val="00F15B95"/>
    <w:rsid w:val="00F16A8A"/>
    <w:rsid w:val="00F3256C"/>
    <w:rsid w:val="00F32980"/>
    <w:rsid w:val="00F409A9"/>
    <w:rsid w:val="00F42F5D"/>
    <w:rsid w:val="00F50687"/>
    <w:rsid w:val="00F62BE0"/>
    <w:rsid w:val="00F64260"/>
    <w:rsid w:val="00F8288D"/>
    <w:rsid w:val="00F84B65"/>
    <w:rsid w:val="00F871BA"/>
    <w:rsid w:val="00FA20CF"/>
    <w:rsid w:val="00FA6359"/>
    <w:rsid w:val="00FA6998"/>
    <w:rsid w:val="00FA769F"/>
    <w:rsid w:val="00FA78CA"/>
    <w:rsid w:val="00FB0572"/>
    <w:rsid w:val="00FB1042"/>
    <w:rsid w:val="00FB70E8"/>
    <w:rsid w:val="00FC6D1A"/>
    <w:rsid w:val="00FD4F29"/>
    <w:rsid w:val="00FD5CA7"/>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tlamarre_2553\Downloads\transfer%20agreemen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bbotson\Documents\Curriculum\Program%20goa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sabbotson\Documents\Curriculum\Program%20goa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22</cp:revision>
  <cp:lastPrinted>2023-05-03T18:04:00Z</cp:lastPrinted>
  <dcterms:created xsi:type="dcterms:W3CDTF">2023-05-01T20:53:00Z</dcterms:created>
  <dcterms:modified xsi:type="dcterms:W3CDTF">2023-05-08T22:14:00Z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