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7E9D86BD" w:rsidR="00F64260" w:rsidRPr="00EA1CF1" w:rsidRDefault="00EA1CF1" w:rsidP="00795BCF">
            <w:pPr>
              <w:rPr>
                <w:rFonts w:asciiTheme="minorHAnsi" w:hAnsiTheme="minorHAnsi" w:cs="Arial"/>
                <w:b/>
                <w:color w:val="515151"/>
                <w:sz w:val="24"/>
                <w:szCs w:val="24"/>
                <w:shd w:val="clear" w:color="auto" w:fill="FFFFFF"/>
              </w:rPr>
            </w:pPr>
            <w:bookmarkStart w:id="0" w:name="Proposal"/>
            <w:bookmarkEnd w:id="0"/>
            <w:r w:rsidRPr="00EA1CF1">
              <w:rPr>
                <w:rFonts w:asciiTheme="minorHAnsi" w:hAnsiTheme="minorHAnsi"/>
                <w:b/>
                <w:color w:val="632423" w:themeColor="accent2" w:themeShade="80"/>
                <w:sz w:val="24"/>
                <w:szCs w:val="24"/>
              </w:rPr>
              <w:t xml:space="preserve">ANTH 311: </w:t>
            </w:r>
            <w:r w:rsidRPr="00EA1CF1">
              <w:rPr>
                <w:rFonts w:asciiTheme="minorHAnsi" w:hAnsiTheme="minorHAnsi" w:cs="Arial"/>
                <w:b/>
                <w:color w:val="632423" w:themeColor="accent2" w:themeShade="80"/>
                <w:sz w:val="24"/>
                <w:szCs w:val="24"/>
                <w:shd w:val="clear" w:color="auto" w:fill="FFFFFF"/>
              </w:rPr>
              <w:t>ARCHAEOLOGY OF THE NORTH AMERICAN EXPERIENCE</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1655FC4" w:rsidR="00F64260" w:rsidRPr="00A83A6C" w:rsidRDefault="007D43A4" w:rsidP="00B862BF">
            <w:pPr>
              <w:pStyle w:val="Heading5"/>
              <w:rPr>
                <w:b/>
              </w:rPr>
            </w:pPr>
            <w:bookmarkStart w:id="3" w:name="Ifapplicable"/>
            <w:bookmarkEnd w:id="3"/>
            <w:r>
              <w:rPr>
                <w:b/>
              </w:rPr>
              <w:t>Ant</w:t>
            </w:r>
            <w:r w:rsidR="00024889">
              <w:rPr>
                <w:b/>
              </w:rPr>
              <w:t>h</w:t>
            </w:r>
            <w:r>
              <w:rPr>
                <w:b/>
              </w:rPr>
              <w:t xml:space="preserve"> 311: NOrth america archaeology</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68E9EB07"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6A1E9C26" w:rsidR="00F64260" w:rsidRPr="005F2A05" w:rsidRDefault="00F64260" w:rsidP="000A36CD">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bookmarkStart w:id="5" w:name="deletion"/>
            <w:bookmarkEnd w:id="5"/>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2211B361" w:rsidR="00F64260" w:rsidRPr="00B605CE" w:rsidRDefault="007D43A4" w:rsidP="00B862BF">
            <w:pPr>
              <w:rPr>
                <w:b/>
              </w:rPr>
            </w:pPr>
            <w:bookmarkStart w:id="6" w:name="Originator"/>
            <w:bookmarkEnd w:id="6"/>
            <w:r>
              <w:rPr>
                <w:b/>
              </w:rPr>
              <w:t>Amélie Allard</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2AA3977B" w:rsidR="00F64260" w:rsidRPr="00B605CE" w:rsidRDefault="007D43A4" w:rsidP="00B862BF">
            <w:pPr>
              <w:rPr>
                <w:b/>
              </w:rPr>
            </w:pPr>
            <w:bookmarkStart w:id="7" w:name="home_dept"/>
            <w:bookmarkEnd w:id="7"/>
            <w:r>
              <w:rPr>
                <w:b/>
              </w:rPr>
              <w:t>Anthropology</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Default="00F64260" w:rsidP="00FA6998">
            <w:pPr>
              <w:rPr>
                <w:b/>
              </w:rPr>
            </w:pPr>
            <w:bookmarkStart w:id="8" w:name="Rationale"/>
            <w:bookmarkEnd w:id="8"/>
          </w:p>
          <w:p w14:paraId="5A2D8004" w14:textId="4C21E06C" w:rsidR="003F3DF1" w:rsidRDefault="003F3DF1" w:rsidP="003F3DF1">
            <w:pPr>
              <w:spacing w:line="240" w:lineRule="auto"/>
              <w:rPr>
                <w:b/>
              </w:rPr>
            </w:pPr>
            <w:r>
              <w:rPr>
                <w:b/>
              </w:rPr>
              <w:t xml:space="preserve">The current </w:t>
            </w:r>
            <w:r w:rsidR="00EA1CF1">
              <w:rPr>
                <w:b/>
              </w:rPr>
              <w:t xml:space="preserve">title and </w:t>
            </w:r>
            <w:r>
              <w:rPr>
                <w:b/>
              </w:rPr>
              <w:t xml:space="preserve">description of North America </w:t>
            </w:r>
            <w:r w:rsidR="00CE5325">
              <w:rPr>
                <w:b/>
              </w:rPr>
              <w:t>Archaeology</w:t>
            </w:r>
            <w:r>
              <w:rPr>
                <w:b/>
              </w:rPr>
              <w:t xml:space="preserve"> no longer reflects the current state of archaeolog</w:t>
            </w:r>
            <w:r w:rsidR="00CE5325">
              <w:rPr>
                <w:b/>
              </w:rPr>
              <w:t>ical practice</w:t>
            </w:r>
            <w:r>
              <w:rPr>
                <w:b/>
              </w:rPr>
              <w:t xml:space="preserve">, or the interests and expertise of the </w:t>
            </w:r>
            <w:r w:rsidR="00CE5325">
              <w:rPr>
                <w:b/>
              </w:rPr>
              <w:t xml:space="preserve">current </w:t>
            </w:r>
            <w:r>
              <w:rPr>
                <w:b/>
              </w:rPr>
              <w:t>faculty.  This revision brings the course into line with current methods</w:t>
            </w:r>
            <w:r w:rsidR="00B61DB9">
              <w:rPr>
                <w:b/>
              </w:rPr>
              <w:t xml:space="preserve">, </w:t>
            </w:r>
            <w:r>
              <w:rPr>
                <w:b/>
              </w:rPr>
              <w:t xml:space="preserve">theoretical frameworks </w:t>
            </w:r>
            <w:r w:rsidR="00B61DB9">
              <w:rPr>
                <w:b/>
              </w:rPr>
              <w:t xml:space="preserve">and issues </w:t>
            </w:r>
            <w:r>
              <w:rPr>
                <w:b/>
              </w:rPr>
              <w:t>now characterizing the field of North American archaeology.</w:t>
            </w:r>
          </w:p>
          <w:p w14:paraId="27E0D044" w14:textId="77777777" w:rsidR="00F64260" w:rsidRDefault="00F64260">
            <w:pPr>
              <w:spacing w:line="240" w:lineRule="auto"/>
              <w:rPr>
                <w:b/>
              </w:rPr>
            </w:pP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3A9BB025" w:rsidR="00AE5302" w:rsidRDefault="00AE5302" w:rsidP="00517DB2"/>
        </w:tc>
        <w:tc>
          <w:tcPr>
            <w:tcW w:w="3889" w:type="pct"/>
            <w:gridSpan w:val="5"/>
          </w:tcPr>
          <w:p w14:paraId="0194753B" w14:textId="009237E4" w:rsidR="00517DB2" w:rsidRPr="00B649C4" w:rsidRDefault="003F3DF1" w:rsidP="00517DB2">
            <w:pPr>
              <w:rPr>
                <w:b/>
              </w:rPr>
            </w:pPr>
            <w:bookmarkStart w:id="9" w:name="student_impact"/>
            <w:bookmarkEnd w:id="9"/>
            <w:r>
              <w:rPr>
                <w:b/>
              </w:rPr>
              <w:t>Students will be exposed to more current approaches to both archaeological practice and to understandings of North American deep and recent history.</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5A93845B" w:rsidR="00517DB2" w:rsidRPr="00B649C4" w:rsidRDefault="00EA1CF1" w:rsidP="00517DB2">
            <w:pPr>
              <w:rPr>
                <w:b/>
              </w:rPr>
            </w:pPr>
            <w:bookmarkStart w:id="10" w:name="prog_impact"/>
            <w:bookmarkEnd w:id="10"/>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15C7C8EE" w:rsidR="008D52B7" w:rsidRPr="00C25F9D" w:rsidRDefault="00166544"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55FAA59A" w:rsidR="008D52B7" w:rsidRPr="00C25F9D" w:rsidRDefault="00166544"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7E3CDCD3" w:rsidR="008D52B7" w:rsidRPr="00C25F9D" w:rsidRDefault="00166544"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22DFCC0A" w:rsidR="008D52B7" w:rsidRPr="00C25F9D" w:rsidRDefault="00166544"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042702A5" w:rsidR="00F64260" w:rsidRPr="00B605CE" w:rsidRDefault="003C0ED5"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526F4B4E" w14:textId="77777777" w:rsidR="00CF0A1D" w:rsidRDefault="00CF0A1D" w:rsidP="00CF0A1D">
            <w:pPr>
              <w:rPr>
                <w:sz w:val="20"/>
                <w:szCs w:val="20"/>
              </w:rPr>
            </w:pPr>
            <w:r>
              <w:rPr>
                <w:sz w:val="20"/>
                <w:szCs w:val="20"/>
              </w:rPr>
              <w:lastRenderedPageBreak/>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p w14:paraId="6EA54740" w14:textId="77777777" w:rsidR="0085712C" w:rsidRDefault="0085712C" w:rsidP="00CF0A1D">
            <w:pPr>
              <w:rPr>
                <w:sz w:val="20"/>
                <w:szCs w:val="20"/>
              </w:rPr>
            </w:pPr>
          </w:p>
          <w:p w14:paraId="2BB324E4" w14:textId="4CEC1E97" w:rsidR="0085712C" w:rsidRDefault="0085712C" w:rsidP="00CF0A1D">
            <w:pPr>
              <w:rPr>
                <w:sz w:val="20"/>
                <w:szCs w:val="20"/>
              </w:rPr>
            </w:pPr>
            <w:r>
              <w:rPr>
                <w:sz w:val="20"/>
                <w:szCs w:val="20"/>
              </w:rPr>
              <w:t>Archaeology Minor</w:t>
            </w:r>
            <w:r w:rsidR="00896FD2">
              <w:rPr>
                <w:sz w:val="20"/>
                <w:szCs w:val="20"/>
              </w:rPr>
              <w:t xml:space="preserve"> page on the </w:t>
            </w:r>
            <w:r w:rsidR="00F4103E">
              <w:rPr>
                <w:sz w:val="20"/>
                <w:szCs w:val="20"/>
              </w:rPr>
              <w:t xml:space="preserve">web </w:t>
            </w:r>
            <w:r w:rsidR="00896FD2">
              <w:rPr>
                <w:sz w:val="20"/>
                <w:szCs w:val="20"/>
              </w:rPr>
              <w:t>catalog</w:t>
            </w:r>
            <w:r>
              <w:rPr>
                <w:sz w:val="20"/>
                <w:szCs w:val="20"/>
              </w:rPr>
              <w:t xml:space="preserve"> (the title for the course will need to be updated): </w:t>
            </w:r>
            <w:hyperlink r:id="rId8" w:history="1">
              <w:r w:rsidRPr="004D141C">
                <w:rPr>
                  <w:rStyle w:val="Hyperlink"/>
                  <w:b/>
                  <w:bCs/>
                  <w:sz w:val="21"/>
                  <w:szCs w:val="21"/>
                </w:rPr>
                <w:t>https://ric.smartcatalogiq.com/2022-2023/catalog/faculty-of-arts-and-sciences/anthropology/archaeology-minor/course-requirements/three-additional-courses-from-the-following-list-two-must-be-from-anth/</w:t>
              </w:r>
            </w:hyperlink>
          </w:p>
          <w:p w14:paraId="0FA4BDEB" w14:textId="417AC005" w:rsidR="0085712C" w:rsidRPr="00CF0A1D" w:rsidRDefault="0085712C" w:rsidP="00CF0A1D">
            <w:pPr>
              <w:rPr>
                <w:sz w:val="20"/>
                <w:szCs w:val="20"/>
              </w:rPr>
            </w:pPr>
          </w:p>
        </w:tc>
      </w:tr>
      <w:tr w:rsidR="00E500F9" w:rsidRPr="006E3AF2" w14:paraId="07BC844E" w14:textId="77777777">
        <w:trPr>
          <w:cantSplit/>
        </w:trPr>
        <w:tc>
          <w:tcPr>
            <w:tcW w:w="5000" w:type="pct"/>
            <w:gridSpan w:val="6"/>
            <w:vAlign w:val="center"/>
          </w:tcPr>
          <w:p w14:paraId="635BFAD5" w14:textId="5AB29BDD" w:rsidR="00E500F9" w:rsidRPr="0085712C" w:rsidRDefault="00E500F9" w:rsidP="0085712C">
            <w:pPr>
              <w:pStyle w:val="ListParagraph"/>
              <w:numPr>
                <w:ilvl w:val="0"/>
                <w:numId w:val="16"/>
              </w:numPr>
              <w:rPr>
                <w:b/>
                <w:sz w:val="20"/>
                <w:szCs w:val="20"/>
              </w:rPr>
            </w:pPr>
            <w:r w:rsidRPr="0085712C">
              <w:rPr>
                <w:sz w:val="20"/>
                <w:szCs w:val="20"/>
              </w:rPr>
              <w:t xml:space="preserve">12 </w:t>
            </w:r>
            <w:r w:rsidRPr="0085712C">
              <w:rPr>
                <w:b/>
                <w:sz w:val="20"/>
                <w:szCs w:val="20"/>
              </w:rPr>
              <w:t xml:space="preserve">Check to see if your proposal will impact any of our </w:t>
            </w:r>
            <w:hyperlink r:id="rId9" w:tooltip="Check relevant JAAs, 2+2s, and if a course you are revising or deleting is one with a transfer agreement" w:history="1">
              <w:r w:rsidRPr="0085712C">
                <w:rPr>
                  <w:rStyle w:val="Hyperlink"/>
                  <w:b/>
                  <w:sz w:val="20"/>
                  <w:szCs w:val="20"/>
                </w:rPr>
                <w:t>transfer</w:t>
              </w:r>
              <w:r w:rsidRPr="0085712C">
                <w:rPr>
                  <w:rStyle w:val="Hyperlink"/>
                  <w:sz w:val="20"/>
                  <w:szCs w:val="20"/>
                </w:rPr>
                <w:t xml:space="preserve"> </w:t>
              </w:r>
              <w:r w:rsidRPr="0085712C">
                <w:rPr>
                  <w:rStyle w:val="Hyperlink"/>
                  <w:b/>
                  <w:sz w:val="20"/>
                  <w:szCs w:val="20"/>
                </w:rPr>
                <w:t>agreements,</w:t>
              </w:r>
            </w:hyperlink>
            <w:r w:rsidRPr="0085712C">
              <w:rPr>
                <w:b/>
                <w:sz w:val="20"/>
                <w:szCs w:val="20"/>
              </w:rPr>
              <w:t xml:space="preserve"> and if it does explain in what way</w:t>
            </w:r>
            <w:r w:rsidR="004E79A5" w:rsidRPr="0085712C">
              <w:rPr>
                <w:b/>
                <w:sz w:val="20"/>
                <w:szCs w:val="20"/>
              </w:rPr>
              <w:t>. Please indicate clearly what will need to be updated.</w:t>
            </w:r>
          </w:p>
          <w:p w14:paraId="0F680C70" w14:textId="77777777" w:rsidR="0085712C" w:rsidRDefault="0085712C" w:rsidP="0085712C">
            <w:pPr>
              <w:pStyle w:val="ListParagraph"/>
              <w:rPr>
                <w:sz w:val="20"/>
                <w:szCs w:val="20"/>
              </w:rPr>
            </w:pPr>
          </w:p>
          <w:p w14:paraId="7083B4D0" w14:textId="760FAD1C" w:rsidR="0085712C" w:rsidRPr="0085712C" w:rsidRDefault="0085712C" w:rsidP="0085712C">
            <w:pPr>
              <w:pStyle w:val="ListParagraph"/>
              <w:rPr>
                <w:sz w:val="20"/>
                <w:szCs w:val="20"/>
              </w:rPr>
            </w:pPr>
            <w:r>
              <w:rPr>
                <w:sz w:val="20"/>
                <w:szCs w:val="20"/>
              </w:rPr>
              <w:t>N/A</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7285D06" w:rsidR="00F64260" w:rsidRPr="009F029C" w:rsidRDefault="00EA1CF1" w:rsidP="001429AA">
            <w:pPr>
              <w:spacing w:line="240" w:lineRule="auto"/>
              <w:rPr>
                <w:b/>
              </w:rPr>
            </w:pPr>
            <w:bookmarkStart w:id="13" w:name="cours_title"/>
            <w:bookmarkEnd w:id="13"/>
            <w:r>
              <w:rPr>
                <w:b/>
              </w:rPr>
              <w:t>ANTH</w:t>
            </w:r>
            <w:r w:rsidR="006E7DBB">
              <w:rPr>
                <w:b/>
              </w:rPr>
              <w:t xml:space="preserve"> 311</w:t>
            </w:r>
          </w:p>
        </w:tc>
        <w:tc>
          <w:tcPr>
            <w:tcW w:w="3840" w:type="dxa"/>
            <w:noWrap/>
          </w:tcPr>
          <w:p w14:paraId="6540064C" w14:textId="7F65BF68" w:rsidR="00F64260" w:rsidRPr="009F029C" w:rsidRDefault="00EA1CF1" w:rsidP="001429AA">
            <w:pPr>
              <w:spacing w:line="240" w:lineRule="auto"/>
              <w:rPr>
                <w:b/>
              </w:rPr>
            </w:pPr>
            <w:r>
              <w:rPr>
                <w:b/>
              </w:rPr>
              <w:t>ANTH</w:t>
            </w:r>
            <w:r w:rsidR="006E7DBB">
              <w:rPr>
                <w:b/>
              </w:rPr>
              <w:t xml:space="preserve"> 311</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38EB5C6D" w:rsidR="00F64260" w:rsidRPr="00EA7802" w:rsidRDefault="006E7DBB" w:rsidP="001429AA">
            <w:pPr>
              <w:spacing w:line="240" w:lineRule="auto"/>
              <w:rPr>
                <w:rFonts w:asciiTheme="minorHAnsi" w:hAnsiTheme="minorHAnsi"/>
                <w:b/>
                <w:color w:val="000000" w:themeColor="text1"/>
                <w:sz w:val="24"/>
                <w:szCs w:val="24"/>
              </w:rPr>
            </w:pPr>
            <w:bookmarkStart w:id="14" w:name="title"/>
            <w:bookmarkEnd w:id="14"/>
            <w:r w:rsidRPr="00EA7802">
              <w:rPr>
                <w:rFonts w:asciiTheme="minorHAnsi" w:hAnsiTheme="minorHAnsi"/>
                <w:b/>
                <w:color w:val="000000" w:themeColor="text1"/>
                <w:sz w:val="24"/>
                <w:szCs w:val="24"/>
              </w:rPr>
              <w:t>North America Archaeology</w:t>
            </w:r>
          </w:p>
        </w:tc>
        <w:tc>
          <w:tcPr>
            <w:tcW w:w="3840" w:type="dxa"/>
            <w:noWrap/>
          </w:tcPr>
          <w:p w14:paraId="3CF6E894" w14:textId="4F8EEC95" w:rsidR="00154F20" w:rsidRPr="00EA7802" w:rsidRDefault="00154F20" w:rsidP="00154F20">
            <w:pPr>
              <w:rPr>
                <w:rFonts w:asciiTheme="minorHAnsi" w:hAnsiTheme="minorHAnsi" w:cs="Arial"/>
                <w:b/>
                <w:bCs/>
                <w:color w:val="000000" w:themeColor="text1"/>
                <w:sz w:val="24"/>
                <w:szCs w:val="24"/>
                <w:shd w:val="clear" w:color="auto" w:fill="FFFFFF"/>
              </w:rPr>
            </w:pPr>
            <w:r w:rsidRPr="00EA7802">
              <w:rPr>
                <w:rFonts w:asciiTheme="minorHAnsi" w:hAnsiTheme="minorHAnsi" w:cs="Arial"/>
                <w:b/>
                <w:bCs/>
                <w:color w:val="000000" w:themeColor="text1"/>
                <w:sz w:val="24"/>
                <w:szCs w:val="24"/>
                <w:shd w:val="clear" w:color="auto" w:fill="FFFFFF"/>
              </w:rPr>
              <w:t xml:space="preserve">Archaeology of the North American </w:t>
            </w:r>
            <w:r w:rsidR="003C757D">
              <w:rPr>
                <w:rFonts w:asciiTheme="minorHAnsi" w:hAnsiTheme="minorHAnsi" w:cs="Arial"/>
                <w:b/>
                <w:bCs/>
                <w:color w:val="000000" w:themeColor="text1"/>
                <w:sz w:val="24"/>
                <w:szCs w:val="24"/>
                <w:shd w:val="clear" w:color="auto" w:fill="FFFFFF"/>
              </w:rPr>
              <w:t>E</w:t>
            </w:r>
            <w:r w:rsidRPr="00EA7802">
              <w:rPr>
                <w:rFonts w:asciiTheme="minorHAnsi" w:hAnsiTheme="minorHAnsi" w:cs="Arial"/>
                <w:b/>
                <w:bCs/>
                <w:color w:val="000000" w:themeColor="text1"/>
                <w:sz w:val="24"/>
                <w:szCs w:val="24"/>
                <w:shd w:val="clear" w:color="auto" w:fill="FFFFFF"/>
              </w:rPr>
              <w:t>xperience</w:t>
            </w:r>
          </w:p>
          <w:p w14:paraId="2B9DB727" w14:textId="4700C35A" w:rsidR="004507AC" w:rsidRPr="00EA7802" w:rsidRDefault="004507AC" w:rsidP="00807466">
            <w:pPr>
              <w:rPr>
                <w:rFonts w:asciiTheme="minorHAnsi" w:hAnsiTheme="minorHAnsi" w:cs="Arial"/>
                <w:color w:val="000000" w:themeColor="text1"/>
                <w:sz w:val="24"/>
                <w:szCs w:val="24"/>
                <w:highlight w:val="yellow"/>
                <w:shd w:val="clear" w:color="auto" w:fill="FFFFFF"/>
              </w:rPr>
            </w:pP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61CC5F0E" w:rsidR="00F64260" w:rsidRPr="00EA7802" w:rsidRDefault="006E7DBB" w:rsidP="009F029C">
            <w:pPr>
              <w:tabs>
                <w:tab w:val="left" w:pos="690"/>
              </w:tabs>
              <w:spacing w:line="240" w:lineRule="auto"/>
              <w:rPr>
                <w:rFonts w:asciiTheme="minorHAnsi" w:hAnsiTheme="minorHAnsi"/>
                <w:b/>
                <w:color w:val="000000" w:themeColor="text1"/>
                <w:sz w:val="24"/>
                <w:szCs w:val="24"/>
              </w:rPr>
            </w:pPr>
            <w:bookmarkStart w:id="15" w:name="description"/>
            <w:bookmarkEnd w:id="15"/>
            <w:r w:rsidRPr="00EA7802">
              <w:rPr>
                <w:rFonts w:asciiTheme="minorHAnsi" w:hAnsiTheme="minorHAnsi" w:cs="Arial"/>
                <w:color w:val="000000" w:themeColor="text1"/>
                <w:sz w:val="24"/>
                <w:szCs w:val="24"/>
                <w:shd w:val="clear" w:color="auto" w:fill="FFFFFF"/>
              </w:rPr>
              <w:t>North American history from the first peopling of the continent to modern times is examined, including migration patterns, subsistence, environmental and social change, technology, and social life.</w:t>
            </w:r>
          </w:p>
        </w:tc>
        <w:tc>
          <w:tcPr>
            <w:tcW w:w="3840" w:type="dxa"/>
            <w:noWrap/>
          </w:tcPr>
          <w:p w14:paraId="51C7BE85" w14:textId="2B47813E" w:rsidR="00F64260" w:rsidRPr="00EA7802" w:rsidRDefault="00C022AC" w:rsidP="00154F20">
            <w:pPr>
              <w:pStyle w:val="NormalWeb"/>
              <w:rPr>
                <w:rFonts w:asciiTheme="minorHAnsi" w:hAnsiTheme="minorHAnsi"/>
                <w:color w:val="000000" w:themeColor="text1"/>
                <w:lang w:val="en-US"/>
              </w:rPr>
            </w:pPr>
            <w:r w:rsidRPr="00EA7802">
              <w:rPr>
                <w:rFonts w:asciiTheme="minorHAnsi" w:hAnsiTheme="minorHAnsi"/>
                <w:color w:val="000000" w:themeColor="text1"/>
                <w:lang w:val="en-US"/>
              </w:rPr>
              <w:t>Students explore North American ancient and recent pasts through an examination of archaeological data and an analysis of the politics and ethics of archaeological practice.</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1EC2F6A4" w:rsidR="00F64260" w:rsidRPr="009F029C" w:rsidRDefault="00F64260" w:rsidP="001429AA">
            <w:pPr>
              <w:spacing w:line="240" w:lineRule="auto"/>
              <w:rPr>
                <w:b/>
              </w:rPr>
            </w:pPr>
            <w:bookmarkStart w:id="16" w:name="prereqs"/>
            <w:bookmarkEnd w:id="16"/>
          </w:p>
        </w:tc>
        <w:tc>
          <w:tcPr>
            <w:tcW w:w="3840" w:type="dxa"/>
            <w:noWrap/>
          </w:tcPr>
          <w:p w14:paraId="4DA91B44" w14:textId="661DC679" w:rsidR="00F64260" w:rsidRPr="009F029C" w:rsidRDefault="00F64260" w:rsidP="001429AA">
            <w:pPr>
              <w:spacing w:line="240" w:lineRule="auto"/>
              <w:rPr>
                <w:b/>
              </w:rPr>
            </w:pP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6C80A83C" w:rsidR="00F64260" w:rsidRPr="009F029C" w:rsidRDefault="00F64260" w:rsidP="000A36CD">
            <w:pPr>
              <w:spacing w:line="240" w:lineRule="auto"/>
              <w:rPr>
                <w:b/>
                <w:sz w:val="20"/>
              </w:rPr>
            </w:pPr>
          </w:p>
        </w:tc>
        <w:tc>
          <w:tcPr>
            <w:tcW w:w="3840" w:type="dxa"/>
            <w:noWrap/>
          </w:tcPr>
          <w:p w14:paraId="67D1137F" w14:textId="68497BC3"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36EE3C00" w:rsidR="00F64260" w:rsidRPr="009F029C" w:rsidRDefault="00F64260" w:rsidP="001429AA">
            <w:pPr>
              <w:spacing w:line="240" w:lineRule="auto"/>
              <w:rPr>
                <w:b/>
              </w:rPr>
            </w:pPr>
            <w:bookmarkStart w:id="17" w:name="contacthours"/>
            <w:bookmarkEnd w:id="17"/>
          </w:p>
        </w:tc>
        <w:tc>
          <w:tcPr>
            <w:tcW w:w="3840" w:type="dxa"/>
            <w:noWrap/>
          </w:tcPr>
          <w:p w14:paraId="57D144B9" w14:textId="3DE37ACB"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2F9309DD" w:rsidR="00F64260" w:rsidRPr="009F029C" w:rsidRDefault="00F64260" w:rsidP="001429AA">
            <w:pPr>
              <w:spacing w:line="240" w:lineRule="auto"/>
              <w:rPr>
                <w:b/>
              </w:rPr>
            </w:pPr>
            <w:bookmarkStart w:id="18" w:name="credits"/>
            <w:bookmarkEnd w:id="18"/>
          </w:p>
        </w:tc>
        <w:tc>
          <w:tcPr>
            <w:tcW w:w="3840" w:type="dxa"/>
            <w:noWrap/>
          </w:tcPr>
          <w:p w14:paraId="7DD4CAFF" w14:textId="49397FAA"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9" w:name="differences"/>
            <w:bookmarkEnd w:id="19"/>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0C8D9B7F" w:rsidR="00F64260" w:rsidRPr="009F029C" w:rsidRDefault="00F64260" w:rsidP="001429AA">
            <w:pPr>
              <w:spacing w:line="240" w:lineRule="auto"/>
              <w:rPr>
                <w:b/>
                <w:sz w:val="20"/>
              </w:rPr>
            </w:pPr>
          </w:p>
        </w:tc>
        <w:tc>
          <w:tcPr>
            <w:tcW w:w="3840" w:type="dxa"/>
            <w:noWrap/>
          </w:tcPr>
          <w:p w14:paraId="2CF717EE" w14:textId="631A91ED"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0D5D23F7" w:rsidR="00F64260" w:rsidRPr="009F029C" w:rsidRDefault="00F64260" w:rsidP="006B20A9">
            <w:pPr>
              <w:spacing w:line="240" w:lineRule="auto"/>
              <w:rPr>
                <w:b/>
                <w:sz w:val="20"/>
              </w:rPr>
            </w:pPr>
            <w:bookmarkStart w:id="20" w:name="instr_methods"/>
            <w:bookmarkEnd w:id="20"/>
          </w:p>
        </w:tc>
        <w:tc>
          <w:tcPr>
            <w:tcW w:w="3840" w:type="dxa"/>
            <w:noWrap/>
          </w:tcPr>
          <w:p w14:paraId="27D66483" w14:textId="13F6189A" w:rsidR="00F64260" w:rsidRPr="00481ACB"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24E598A5" w:rsidR="005E2D3D" w:rsidRPr="001F502E" w:rsidRDefault="005E2D3D" w:rsidP="00DE66BD">
            <w:pPr>
              <w:spacing w:line="240" w:lineRule="auto"/>
              <w:rPr>
                <w:b/>
                <w:sz w:val="20"/>
              </w:rPr>
            </w:pPr>
          </w:p>
        </w:tc>
        <w:tc>
          <w:tcPr>
            <w:tcW w:w="3840" w:type="dxa"/>
            <w:noWrap/>
          </w:tcPr>
          <w:p w14:paraId="50180751" w14:textId="3B7F72E2" w:rsidR="005E2D3D" w:rsidRPr="001F502E" w:rsidRDefault="005E2D3D" w:rsidP="00EA1CF1">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3965AC3E" w:rsidR="00F64260" w:rsidRPr="009F029C" w:rsidRDefault="00F64260" w:rsidP="00A87611">
            <w:pPr>
              <w:spacing w:line="240" w:lineRule="auto"/>
              <w:rPr>
                <w:b/>
                <w:sz w:val="20"/>
              </w:rPr>
            </w:pPr>
            <w:bookmarkStart w:id="21" w:name="required"/>
            <w:bookmarkEnd w:id="21"/>
          </w:p>
        </w:tc>
        <w:tc>
          <w:tcPr>
            <w:tcW w:w="3840" w:type="dxa"/>
            <w:noWrap/>
          </w:tcPr>
          <w:p w14:paraId="442E5788" w14:textId="073B95FF" w:rsidR="00F64260" w:rsidRPr="009F029C" w:rsidRDefault="00837253" w:rsidP="001A51ED">
            <w:pPr>
              <w:spacing w:line="240" w:lineRule="auto"/>
              <w:rPr>
                <w:b/>
                <w:sz w:val="20"/>
              </w:rPr>
            </w:pPr>
            <w:r w:rsidRPr="009F029C">
              <w:rPr>
                <w:b/>
                <w:sz w:val="20"/>
              </w:rPr>
              <w:t>Free elective</w:t>
            </w:r>
            <w:r w:rsidR="00EA1CF1">
              <w:rPr>
                <w:b/>
                <w:sz w:val="20"/>
              </w:rPr>
              <w:t xml:space="preserve"> and restricted elective</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1560B0A7" w:rsidR="00F64260" w:rsidRPr="009F029C" w:rsidRDefault="00F64260" w:rsidP="001429AA">
            <w:pPr>
              <w:spacing w:line="240" w:lineRule="auto"/>
              <w:rPr>
                <w:b/>
              </w:rPr>
            </w:pPr>
          </w:p>
        </w:tc>
        <w:tc>
          <w:tcPr>
            <w:tcW w:w="3840" w:type="dxa"/>
            <w:noWrap/>
          </w:tcPr>
          <w:p w14:paraId="41CF798F" w14:textId="765ABF70" w:rsidR="00F64260" w:rsidRPr="009F029C" w:rsidRDefault="00F3256C" w:rsidP="001429AA">
            <w:pPr>
              <w:spacing w:line="240" w:lineRule="auto"/>
              <w:rPr>
                <w:b/>
              </w:rPr>
            </w:pPr>
            <w:r>
              <w:rPr>
                <w:b/>
              </w:rPr>
              <w:t>NO</w:t>
            </w:r>
          </w:p>
        </w:tc>
      </w:tr>
      <w:tr w:rsidR="00F64260" w:rsidRPr="006E3AF2" w14:paraId="3A6D1D6E" w14:textId="77777777" w:rsidTr="005E2D3D">
        <w:tc>
          <w:tcPr>
            <w:tcW w:w="3100" w:type="dxa"/>
            <w:noWrap/>
            <w:vAlign w:val="center"/>
          </w:tcPr>
          <w:p w14:paraId="2CF67C76" w14:textId="387CBA56" w:rsidR="00984B36" w:rsidRPr="00DE66BD" w:rsidRDefault="00CF0A1D" w:rsidP="00880392">
            <w:pPr>
              <w:spacing w:line="240" w:lineRule="auto"/>
              <w:rPr>
                <w:color w:val="0000FF"/>
                <w:u w:val="single"/>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tc>
        <w:tc>
          <w:tcPr>
            <w:tcW w:w="3840" w:type="dxa"/>
            <w:noWrap/>
          </w:tcPr>
          <w:p w14:paraId="071181E7" w14:textId="4D1EE525" w:rsidR="00F64260" w:rsidRPr="009F029C" w:rsidRDefault="00F64260" w:rsidP="001A51ED">
            <w:pPr>
              <w:rPr>
                <w:b/>
                <w:sz w:val="20"/>
              </w:rPr>
            </w:pPr>
            <w:bookmarkStart w:id="22" w:name="ge"/>
            <w:bookmarkEnd w:id="22"/>
          </w:p>
        </w:tc>
        <w:tc>
          <w:tcPr>
            <w:tcW w:w="3840" w:type="dxa"/>
            <w:noWrap/>
          </w:tcPr>
          <w:p w14:paraId="45B135E3" w14:textId="0DDE4526" w:rsidR="00F64260" w:rsidRPr="00DE66BD" w:rsidRDefault="00F3256C" w:rsidP="001429AA">
            <w:pPr>
              <w:spacing w:line="240" w:lineRule="auto"/>
              <w:rPr>
                <w:rFonts w:ascii="MS Mincho" w:eastAsia="MS Mincho" w:hAnsi="MS Mincho" w:cs="MS Mincho"/>
                <w:b/>
                <w:sz w:val="20"/>
              </w:rPr>
            </w:pPr>
            <w:r>
              <w:rPr>
                <w:b/>
              </w:rPr>
              <w:t>NO</w:t>
            </w:r>
            <w:r w:rsidR="00984B36">
              <w:rPr>
                <w:b/>
              </w:rPr>
              <w:t xml:space="preserve"> </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lastRenderedPageBreak/>
              <w:t xml:space="preserve">       Discipline (WID)</w:t>
            </w:r>
          </w:p>
        </w:tc>
        <w:tc>
          <w:tcPr>
            <w:tcW w:w="3840" w:type="dxa"/>
            <w:noWrap/>
          </w:tcPr>
          <w:p w14:paraId="43D9AC56" w14:textId="69165D42" w:rsidR="00CF0A1D" w:rsidRDefault="00CF0A1D" w:rsidP="001A51ED">
            <w:pPr>
              <w:rPr>
                <w:b/>
              </w:rPr>
            </w:pPr>
          </w:p>
        </w:tc>
        <w:tc>
          <w:tcPr>
            <w:tcW w:w="3840" w:type="dxa"/>
            <w:noWrap/>
          </w:tcPr>
          <w:p w14:paraId="10B541DA" w14:textId="334A9E82" w:rsidR="00CF0A1D" w:rsidRDefault="00CF0A1D" w:rsidP="001429AA">
            <w:pPr>
              <w:spacing w:line="240" w:lineRule="auto"/>
              <w:rPr>
                <w:b/>
              </w:rPr>
            </w:pPr>
            <w:r>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7BDFCF69" w:rsidR="00F64260" w:rsidRPr="009F029C" w:rsidRDefault="00F64260" w:rsidP="00EA1CF1">
            <w:pPr>
              <w:spacing w:line="240" w:lineRule="auto"/>
              <w:rPr>
                <w:b/>
                <w:sz w:val="20"/>
              </w:rPr>
            </w:pPr>
            <w:bookmarkStart w:id="23" w:name="performance"/>
            <w:bookmarkEnd w:id="23"/>
          </w:p>
        </w:tc>
        <w:tc>
          <w:tcPr>
            <w:tcW w:w="3840" w:type="dxa"/>
            <w:noWrap/>
          </w:tcPr>
          <w:p w14:paraId="67377470" w14:textId="1AE32C77" w:rsidR="003C0ED5" w:rsidRPr="009F029C" w:rsidRDefault="003C0ED5" w:rsidP="003C0ED5">
            <w:pPr>
              <w:spacing w:line="240" w:lineRule="auto"/>
              <w:rPr>
                <w:rFonts w:ascii="MS Mincho" w:eastAsia="MS Mincho" w:hAnsi="MS Mincho" w:cs="MS Mincho"/>
                <w:b/>
                <w:sz w:val="20"/>
              </w:rPr>
            </w:pPr>
            <w:proofErr w:type="gramStart"/>
            <w:r w:rsidRPr="009F029C">
              <w:rPr>
                <w:b/>
                <w:sz w:val="20"/>
              </w:rPr>
              <w:t xml:space="preserve">Attendance  </w:t>
            </w:r>
            <w:r w:rsidRPr="009F029C">
              <w:rPr>
                <w:rFonts w:ascii="MS Mincho" w:eastAsia="MS Mincho" w:hAnsi="MS Mincho" w:cs="MS Mincho"/>
                <w:b/>
                <w:sz w:val="20"/>
              </w:rPr>
              <w:t>|</w:t>
            </w:r>
            <w:proofErr w:type="gramEnd"/>
            <w:r w:rsidRPr="009F029C">
              <w:rPr>
                <w:rFonts w:ascii="MS Mincho" w:eastAsia="MS Mincho" w:hAnsi="MS Mincho" w:cs="MS Mincho"/>
                <w:b/>
                <w:sz w:val="20"/>
              </w:rPr>
              <w:t xml:space="preserve"> </w:t>
            </w:r>
            <w:r w:rsidRPr="009F029C">
              <w:rPr>
                <w:b/>
                <w:sz w:val="20"/>
              </w:rPr>
              <w:t xml:space="preserve">Class participation </w:t>
            </w:r>
            <w:r w:rsidRPr="009F029C">
              <w:rPr>
                <w:rFonts w:ascii="MS Mincho" w:eastAsia="MS Mincho" w:hAnsi="MS Mincho" w:cs="MS Mincho"/>
                <w:b/>
                <w:sz w:val="20"/>
              </w:rPr>
              <w:t>|</w:t>
            </w:r>
            <w:r w:rsidRPr="009F029C">
              <w:rPr>
                <w:b/>
                <w:sz w:val="20"/>
              </w:rPr>
              <w:t xml:space="preserve">  Presentations  </w:t>
            </w:r>
            <w:r w:rsidRPr="009F029C">
              <w:rPr>
                <w:rFonts w:ascii="MS Mincho" w:eastAsia="MS Mincho" w:hAnsi="MS Mincho" w:cs="MS Mincho"/>
                <w:b/>
                <w:sz w:val="20"/>
              </w:rPr>
              <w:t xml:space="preserve">| </w:t>
            </w:r>
            <w:r w:rsidRPr="009F029C">
              <w:rPr>
                <w:b/>
                <w:sz w:val="20"/>
              </w:rPr>
              <w:t xml:space="preserve">Papers  </w:t>
            </w:r>
            <w:r w:rsidRPr="009F029C">
              <w:rPr>
                <w:rFonts w:ascii="MS Mincho" w:eastAsia="MS Mincho" w:hAnsi="MS Mincho" w:cs="MS Mincho"/>
                <w:b/>
                <w:sz w:val="20"/>
              </w:rPr>
              <w:t xml:space="preserve">| </w:t>
            </w:r>
          </w:p>
          <w:p w14:paraId="33AC4615" w14:textId="1C79916C" w:rsidR="00F64260" w:rsidRPr="009F029C" w:rsidRDefault="003C0ED5" w:rsidP="003C0ED5">
            <w:pPr>
              <w:spacing w:line="240" w:lineRule="auto"/>
              <w:rPr>
                <w:b/>
                <w:sz w:val="20"/>
              </w:rPr>
            </w:pPr>
            <w:r w:rsidRPr="009F029C">
              <w:rPr>
                <w:b/>
                <w:sz w:val="20"/>
              </w:rPr>
              <w:t xml:space="preserve">Class Work  </w:t>
            </w:r>
            <w:r w:rsidRPr="009F029C">
              <w:rPr>
                <w:rFonts w:ascii="MS Mincho" w:eastAsia="MS Mincho" w:hAnsi="MS Mincho" w:cs="MS Mincho"/>
                <w:b/>
                <w:sz w:val="20"/>
              </w:rPr>
              <w:t xml:space="preserve">| </w:t>
            </w:r>
            <w:r w:rsidRPr="009F029C">
              <w:rPr>
                <w:b/>
                <w:sz w:val="20"/>
              </w:rPr>
              <w:t xml:space="preserve">Quizzes </w:t>
            </w:r>
            <w:r w:rsidRPr="009F029C">
              <w:rPr>
                <w:rFonts w:ascii="MS Mincho" w:eastAsia="MS Mincho" w:hAnsi="MS Mincho" w:cs="MS Mincho"/>
                <w:b/>
                <w:sz w:val="20"/>
              </w:rPr>
              <w:t xml:space="preserve">| </w:t>
            </w:r>
            <w:r w:rsidRPr="009F029C">
              <w:rPr>
                <w:b/>
                <w:sz w:val="20"/>
              </w:rPr>
              <w:t xml:space="preserve">Projects </w:t>
            </w:r>
            <w:r w:rsidRPr="009F029C">
              <w:rPr>
                <w:rFonts w:ascii="MS Mincho" w:eastAsia="MS Mincho" w:hAnsi="MS Mincho" w:cs="MS Mincho"/>
                <w:b/>
                <w:sz w:val="20"/>
              </w:rPr>
              <w:t>|</w:t>
            </w:r>
            <w:r w:rsidRPr="009F029C">
              <w:rPr>
                <w:b/>
                <w:sz w:val="20"/>
              </w:rPr>
              <w:t xml:space="preserve"> </w:t>
            </w: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4A5E3097" w:rsidR="00BF30C5" w:rsidRPr="009F029C" w:rsidRDefault="00F252A1" w:rsidP="001429AA">
            <w:pPr>
              <w:spacing w:line="240" w:lineRule="auto"/>
              <w:rPr>
                <w:b/>
              </w:rPr>
            </w:pPr>
            <w:r>
              <w:rPr>
                <w:b/>
              </w:rPr>
              <w:t>30</w:t>
            </w: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59A81982" w:rsidR="00F64260" w:rsidRPr="009F029C" w:rsidRDefault="00F64260" w:rsidP="001429AA">
            <w:pPr>
              <w:spacing w:line="240" w:lineRule="auto"/>
              <w:rPr>
                <w:b/>
              </w:rPr>
            </w:pPr>
            <w:bookmarkStart w:id="25" w:name="competing"/>
            <w:bookmarkEnd w:id="25"/>
          </w:p>
        </w:tc>
        <w:tc>
          <w:tcPr>
            <w:tcW w:w="3840" w:type="dxa"/>
            <w:noWrap/>
          </w:tcPr>
          <w:p w14:paraId="15AF74BC" w14:textId="4899F2EE" w:rsidR="00F64260" w:rsidRPr="009F029C" w:rsidRDefault="00B279DE" w:rsidP="001429AA">
            <w:pPr>
              <w:spacing w:line="240" w:lineRule="auto"/>
              <w:rPr>
                <w:b/>
              </w:rPr>
            </w:pPr>
            <w:r>
              <w:rPr>
                <w:b/>
              </w:rPr>
              <w:t>N/A</w:t>
            </w: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5"/>
        <w:gridCol w:w="1894"/>
        <w:gridCol w:w="4571"/>
      </w:tblGrid>
      <w:tr w:rsidR="00F64260" w:rsidRPr="00402602" w14:paraId="707BEBAF" w14:textId="77777777" w:rsidTr="001D43D3">
        <w:trPr>
          <w:cantSplit/>
          <w:tblHeader/>
        </w:trPr>
        <w:tc>
          <w:tcPr>
            <w:tcW w:w="4315"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571"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D43D3">
        <w:tc>
          <w:tcPr>
            <w:tcW w:w="4315" w:type="dxa"/>
          </w:tcPr>
          <w:p w14:paraId="4E937535" w14:textId="721D68A9" w:rsidR="00F64260" w:rsidRPr="0072305C" w:rsidRDefault="001D43D3">
            <w:pPr>
              <w:spacing w:line="240" w:lineRule="auto"/>
              <w:rPr>
                <w:rFonts w:ascii="Arial" w:hAnsi="Arial" w:cs="Arial"/>
                <w:sz w:val="18"/>
                <w:szCs w:val="18"/>
              </w:rPr>
            </w:pPr>
            <w:bookmarkStart w:id="26" w:name="outcomes"/>
            <w:bookmarkEnd w:id="26"/>
            <w:r w:rsidRPr="0072305C">
              <w:rPr>
                <w:rFonts w:ascii="Arial" w:hAnsi="Arial" w:cs="Arial"/>
                <w:sz w:val="18"/>
                <w:szCs w:val="18"/>
              </w:rPr>
              <w:t>To draw inferences regarding the diversity of the human experience in North America, from pre-Columbian to contemporary times, based on archaeological data;</w:t>
            </w:r>
          </w:p>
        </w:tc>
        <w:tc>
          <w:tcPr>
            <w:tcW w:w="1894" w:type="dxa"/>
          </w:tcPr>
          <w:p w14:paraId="0A045709" w14:textId="77777777" w:rsidR="00F64260" w:rsidRPr="0072305C" w:rsidRDefault="00F64260">
            <w:pPr>
              <w:spacing w:line="240" w:lineRule="auto"/>
              <w:rPr>
                <w:rFonts w:ascii="Arial" w:hAnsi="Arial" w:cs="Arial"/>
                <w:sz w:val="18"/>
                <w:szCs w:val="18"/>
              </w:rPr>
            </w:pPr>
          </w:p>
        </w:tc>
        <w:tc>
          <w:tcPr>
            <w:tcW w:w="4571" w:type="dxa"/>
          </w:tcPr>
          <w:p w14:paraId="61CFC07B" w14:textId="77777777" w:rsidR="001D43D3" w:rsidRPr="0072305C" w:rsidRDefault="001D43D3" w:rsidP="00AE7A3D">
            <w:pPr>
              <w:spacing w:line="240" w:lineRule="auto"/>
              <w:rPr>
                <w:rFonts w:ascii="Arial" w:hAnsi="Arial" w:cs="Arial"/>
                <w:sz w:val="18"/>
                <w:szCs w:val="18"/>
              </w:rPr>
            </w:pPr>
            <w:r w:rsidRPr="0072305C">
              <w:rPr>
                <w:rFonts w:ascii="Arial" w:hAnsi="Arial" w:cs="Arial"/>
                <w:sz w:val="18"/>
                <w:szCs w:val="18"/>
              </w:rPr>
              <w:t xml:space="preserve">See B.13 </w:t>
            </w:r>
          </w:p>
          <w:p w14:paraId="638BB382" w14:textId="3CEEF584" w:rsidR="00F64260" w:rsidRPr="0072305C" w:rsidRDefault="001D43D3" w:rsidP="00AE7A3D">
            <w:pPr>
              <w:spacing w:line="240" w:lineRule="auto"/>
              <w:rPr>
                <w:rFonts w:ascii="Arial" w:hAnsi="Arial" w:cs="Arial"/>
                <w:sz w:val="18"/>
                <w:szCs w:val="18"/>
              </w:rPr>
            </w:pPr>
            <w:r w:rsidRPr="0072305C">
              <w:rPr>
                <w:rFonts w:ascii="Arial" w:hAnsi="Arial" w:cs="Arial"/>
                <w:sz w:val="18"/>
                <w:szCs w:val="18"/>
              </w:rPr>
              <w:t>E.g.: Collaborative research and presentation projects on a regional topic</w:t>
            </w:r>
          </w:p>
        </w:tc>
      </w:tr>
      <w:tr w:rsidR="001D43D3" w14:paraId="5987A095" w14:textId="77777777" w:rsidTr="001D43D3">
        <w:tc>
          <w:tcPr>
            <w:tcW w:w="4315" w:type="dxa"/>
          </w:tcPr>
          <w:p w14:paraId="2F205AE7" w14:textId="0C804E18" w:rsidR="001D43D3" w:rsidRPr="0072305C" w:rsidRDefault="001D43D3">
            <w:pPr>
              <w:spacing w:line="240" w:lineRule="auto"/>
              <w:rPr>
                <w:rFonts w:ascii="Arial" w:hAnsi="Arial" w:cs="Arial"/>
                <w:sz w:val="18"/>
                <w:szCs w:val="18"/>
              </w:rPr>
            </w:pPr>
            <w:r w:rsidRPr="0072305C">
              <w:rPr>
                <w:rFonts w:ascii="Arial" w:hAnsi="Arial" w:cs="Arial"/>
                <w:sz w:val="18"/>
                <w:szCs w:val="18"/>
              </w:rPr>
              <w:t>To understand the kinds of topics North American archaeologists research and the central questions germane to the study area</w:t>
            </w:r>
            <w:r w:rsidR="00592D32">
              <w:rPr>
                <w:rFonts w:ascii="Arial" w:hAnsi="Arial" w:cs="Arial"/>
                <w:sz w:val="18"/>
                <w:szCs w:val="18"/>
              </w:rPr>
              <w:t>;</w:t>
            </w:r>
          </w:p>
        </w:tc>
        <w:tc>
          <w:tcPr>
            <w:tcW w:w="1894" w:type="dxa"/>
          </w:tcPr>
          <w:p w14:paraId="074C0B57" w14:textId="77777777" w:rsidR="001D43D3" w:rsidRPr="0072305C" w:rsidRDefault="001D43D3">
            <w:pPr>
              <w:spacing w:line="240" w:lineRule="auto"/>
              <w:rPr>
                <w:rFonts w:ascii="Arial" w:hAnsi="Arial" w:cs="Arial"/>
                <w:sz w:val="18"/>
                <w:szCs w:val="18"/>
              </w:rPr>
            </w:pPr>
          </w:p>
        </w:tc>
        <w:tc>
          <w:tcPr>
            <w:tcW w:w="4571" w:type="dxa"/>
          </w:tcPr>
          <w:p w14:paraId="3287984D" w14:textId="77777777" w:rsidR="001D43D3" w:rsidRPr="0072305C" w:rsidRDefault="001D43D3" w:rsidP="00AE7A3D">
            <w:pPr>
              <w:spacing w:line="240" w:lineRule="auto"/>
              <w:rPr>
                <w:rFonts w:ascii="Arial" w:hAnsi="Arial" w:cs="Arial"/>
                <w:sz w:val="18"/>
                <w:szCs w:val="18"/>
              </w:rPr>
            </w:pPr>
            <w:r w:rsidRPr="0072305C">
              <w:rPr>
                <w:rFonts w:ascii="Arial" w:hAnsi="Arial" w:cs="Arial"/>
                <w:sz w:val="18"/>
                <w:szCs w:val="18"/>
              </w:rPr>
              <w:t xml:space="preserve">See B.13 </w:t>
            </w:r>
          </w:p>
          <w:p w14:paraId="0B5BBDA9" w14:textId="5104B70B" w:rsidR="001D43D3" w:rsidRPr="0072305C" w:rsidRDefault="001D43D3" w:rsidP="00AE7A3D">
            <w:pPr>
              <w:spacing w:line="240" w:lineRule="auto"/>
              <w:rPr>
                <w:rFonts w:ascii="Arial" w:hAnsi="Arial" w:cs="Arial"/>
                <w:sz w:val="18"/>
                <w:szCs w:val="18"/>
              </w:rPr>
            </w:pPr>
            <w:r w:rsidRPr="0072305C">
              <w:rPr>
                <w:rFonts w:ascii="Arial" w:hAnsi="Arial" w:cs="Arial"/>
                <w:sz w:val="18"/>
                <w:szCs w:val="18"/>
              </w:rPr>
              <w:t>E.g.: Weekly quizzes and/or in-class activities; Final research project on a question/topic of their choice</w:t>
            </w:r>
          </w:p>
        </w:tc>
      </w:tr>
      <w:tr w:rsidR="001D43D3" w14:paraId="32E160CE" w14:textId="77777777" w:rsidTr="001D43D3">
        <w:tc>
          <w:tcPr>
            <w:tcW w:w="4315" w:type="dxa"/>
          </w:tcPr>
          <w:p w14:paraId="34810D8A" w14:textId="4A093828" w:rsidR="001D43D3" w:rsidRPr="0072305C" w:rsidRDefault="001D43D3" w:rsidP="001D43D3">
            <w:pPr>
              <w:spacing w:line="240" w:lineRule="auto"/>
              <w:rPr>
                <w:rFonts w:ascii="Arial" w:hAnsi="Arial" w:cs="Arial"/>
                <w:sz w:val="18"/>
                <w:szCs w:val="18"/>
              </w:rPr>
            </w:pPr>
            <w:r w:rsidRPr="0072305C">
              <w:rPr>
                <w:rFonts w:ascii="Arial" w:hAnsi="Arial" w:cs="Arial"/>
                <w:sz w:val="18"/>
                <w:szCs w:val="18"/>
              </w:rPr>
              <w:t>To gain the ability to evaluate the validity and pertinence of evidence and frameworks</w:t>
            </w:r>
            <w:r w:rsidR="00592D32">
              <w:rPr>
                <w:rFonts w:ascii="Arial" w:hAnsi="Arial" w:cs="Arial"/>
                <w:sz w:val="18"/>
                <w:szCs w:val="18"/>
              </w:rPr>
              <w:t xml:space="preserve"> as it pertains to North American archaeology</w:t>
            </w:r>
            <w:r w:rsidRPr="0072305C">
              <w:rPr>
                <w:rFonts w:ascii="Arial" w:hAnsi="Arial" w:cs="Arial"/>
                <w:sz w:val="18"/>
                <w:szCs w:val="18"/>
              </w:rPr>
              <w:t>;</w:t>
            </w:r>
          </w:p>
        </w:tc>
        <w:tc>
          <w:tcPr>
            <w:tcW w:w="1894" w:type="dxa"/>
          </w:tcPr>
          <w:p w14:paraId="55F128B2" w14:textId="77777777" w:rsidR="001D43D3" w:rsidRPr="0072305C" w:rsidRDefault="001D43D3" w:rsidP="001D43D3">
            <w:pPr>
              <w:spacing w:line="240" w:lineRule="auto"/>
              <w:rPr>
                <w:rFonts w:ascii="Arial" w:hAnsi="Arial" w:cs="Arial"/>
                <w:sz w:val="18"/>
                <w:szCs w:val="18"/>
              </w:rPr>
            </w:pPr>
          </w:p>
        </w:tc>
        <w:tc>
          <w:tcPr>
            <w:tcW w:w="4571" w:type="dxa"/>
          </w:tcPr>
          <w:p w14:paraId="1086DADA" w14:textId="77777777" w:rsidR="001D43D3" w:rsidRPr="0072305C" w:rsidRDefault="001D43D3" w:rsidP="001D43D3">
            <w:pPr>
              <w:spacing w:line="240" w:lineRule="auto"/>
              <w:rPr>
                <w:rFonts w:ascii="Arial" w:hAnsi="Arial" w:cs="Arial"/>
                <w:sz w:val="18"/>
                <w:szCs w:val="18"/>
              </w:rPr>
            </w:pPr>
            <w:r w:rsidRPr="0072305C">
              <w:rPr>
                <w:rFonts w:ascii="Arial" w:hAnsi="Arial" w:cs="Arial"/>
                <w:sz w:val="18"/>
                <w:szCs w:val="18"/>
              </w:rPr>
              <w:t>See B.13</w:t>
            </w:r>
          </w:p>
          <w:p w14:paraId="1FB30C08" w14:textId="6446E88E" w:rsidR="001D43D3" w:rsidRPr="0072305C" w:rsidRDefault="001D43D3" w:rsidP="001D43D3">
            <w:pPr>
              <w:spacing w:line="240" w:lineRule="auto"/>
              <w:rPr>
                <w:rFonts w:ascii="Arial" w:hAnsi="Arial" w:cs="Arial"/>
                <w:sz w:val="18"/>
                <w:szCs w:val="18"/>
              </w:rPr>
            </w:pPr>
            <w:r w:rsidRPr="0072305C">
              <w:rPr>
                <w:rFonts w:ascii="Arial" w:hAnsi="Arial" w:cs="Arial"/>
                <w:sz w:val="18"/>
                <w:szCs w:val="18"/>
              </w:rPr>
              <w:t>E.g.: Weekly quizzes and/or in-class activities; Final research project on a question/topic of their choice</w:t>
            </w:r>
          </w:p>
        </w:tc>
      </w:tr>
      <w:tr w:rsidR="001D43D3" w14:paraId="44F5C8B4" w14:textId="77777777" w:rsidTr="001D43D3">
        <w:tc>
          <w:tcPr>
            <w:tcW w:w="4315" w:type="dxa"/>
          </w:tcPr>
          <w:p w14:paraId="7F917937" w14:textId="514568EA" w:rsidR="001D43D3" w:rsidRPr="0072305C" w:rsidRDefault="00EA7802" w:rsidP="001D43D3">
            <w:pPr>
              <w:spacing w:line="240" w:lineRule="auto"/>
              <w:rPr>
                <w:rFonts w:ascii="Arial" w:hAnsi="Arial" w:cs="Arial"/>
                <w:sz w:val="18"/>
                <w:szCs w:val="18"/>
              </w:rPr>
            </w:pPr>
            <w:r>
              <w:rPr>
                <w:rFonts w:ascii="Arial" w:hAnsi="Arial" w:cs="Arial"/>
                <w:sz w:val="18"/>
                <w:szCs w:val="18"/>
              </w:rPr>
              <w:t>To demonstrate an ability to utilize anthropological and archaeological concepts to understand the world around them, including discussions of race and the legacies of colonization;</w:t>
            </w:r>
          </w:p>
        </w:tc>
        <w:tc>
          <w:tcPr>
            <w:tcW w:w="1894" w:type="dxa"/>
          </w:tcPr>
          <w:p w14:paraId="0AE4277F" w14:textId="77777777" w:rsidR="001D43D3" w:rsidRPr="0072305C" w:rsidRDefault="001D43D3" w:rsidP="001D43D3">
            <w:pPr>
              <w:spacing w:line="240" w:lineRule="auto"/>
              <w:rPr>
                <w:rFonts w:ascii="Arial" w:hAnsi="Arial" w:cs="Arial"/>
                <w:sz w:val="18"/>
                <w:szCs w:val="18"/>
              </w:rPr>
            </w:pPr>
          </w:p>
        </w:tc>
        <w:tc>
          <w:tcPr>
            <w:tcW w:w="4571" w:type="dxa"/>
          </w:tcPr>
          <w:p w14:paraId="37956363" w14:textId="77777777" w:rsidR="001D43D3" w:rsidRPr="0072305C" w:rsidRDefault="001D43D3" w:rsidP="001D43D3">
            <w:pPr>
              <w:spacing w:line="240" w:lineRule="auto"/>
              <w:rPr>
                <w:rFonts w:ascii="Arial" w:hAnsi="Arial" w:cs="Arial"/>
                <w:sz w:val="18"/>
                <w:szCs w:val="18"/>
              </w:rPr>
            </w:pPr>
            <w:r w:rsidRPr="0072305C">
              <w:rPr>
                <w:rFonts w:ascii="Arial" w:hAnsi="Arial" w:cs="Arial"/>
                <w:sz w:val="18"/>
                <w:szCs w:val="18"/>
              </w:rPr>
              <w:t>See B.13</w:t>
            </w:r>
          </w:p>
          <w:p w14:paraId="6DCBF7FE" w14:textId="1F1A5A3E" w:rsidR="001D43D3" w:rsidRPr="0072305C" w:rsidRDefault="001D43D3" w:rsidP="001D43D3">
            <w:pPr>
              <w:spacing w:line="240" w:lineRule="auto"/>
              <w:rPr>
                <w:rFonts w:ascii="Arial" w:hAnsi="Arial" w:cs="Arial"/>
                <w:sz w:val="18"/>
                <w:szCs w:val="18"/>
              </w:rPr>
            </w:pPr>
            <w:r w:rsidRPr="0072305C">
              <w:rPr>
                <w:rFonts w:ascii="Arial" w:hAnsi="Arial" w:cs="Arial"/>
                <w:sz w:val="18"/>
                <w:szCs w:val="18"/>
              </w:rPr>
              <w:t>E.g.: Informal and formal writing assignments, including the final research project</w:t>
            </w:r>
          </w:p>
        </w:tc>
      </w:tr>
      <w:tr w:rsidR="003A4FD1" w14:paraId="00A5BE94" w14:textId="77777777" w:rsidTr="001D43D3">
        <w:tc>
          <w:tcPr>
            <w:tcW w:w="4315" w:type="dxa"/>
          </w:tcPr>
          <w:p w14:paraId="2749FE77" w14:textId="76A93C6A" w:rsidR="003A4FD1" w:rsidRPr="0072305C" w:rsidRDefault="003A4FD1" w:rsidP="001D43D3">
            <w:pPr>
              <w:spacing w:line="240" w:lineRule="auto"/>
              <w:rPr>
                <w:rFonts w:ascii="Arial" w:hAnsi="Arial" w:cs="Arial"/>
                <w:sz w:val="18"/>
                <w:szCs w:val="18"/>
              </w:rPr>
            </w:pPr>
            <w:r w:rsidRPr="0072305C">
              <w:rPr>
                <w:rFonts w:ascii="Arial" w:hAnsi="Arial" w:cs="Arial"/>
                <w:sz w:val="18"/>
                <w:szCs w:val="18"/>
              </w:rPr>
              <w:t xml:space="preserve">To recognize the relevance of archaeology </w:t>
            </w:r>
            <w:r w:rsidR="00592D32">
              <w:rPr>
                <w:rFonts w:ascii="Arial" w:hAnsi="Arial" w:cs="Arial"/>
                <w:sz w:val="18"/>
                <w:szCs w:val="18"/>
              </w:rPr>
              <w:t xml:space="preserve">for addressing contemporary issues and </w:t>
            </w:r>
            <w:proofErr w:type="gramStart"/>
            <w:r w:rsidR="00592D32">
              <w:rPr>
                <w:rFonts w:ascii="Arial" w:hAnsi="Arial" w:cs="Arial"/>
                <w:sz w:val="18"/>
                <w:szCs w:val="18"/>
              </w:rPr>
              <w:t>policy-making</w:t>
            </w:r>
            <w:proofErr w:type="gramEnd"/>
            <w:r w:rsidR="00592D32">
              <w:rPr>
                <w:rFonts w:ascii="Arial" w:hAnsi="Arial" w:cs="Arial"/>
                <w:sz w:val="18"/>
                <w:szCs w:val="18"/>
              </w:rPr>
              <w:t xml:space="preserve"> in</w:t>
            </w:r>
            <w:r w:rsidRPr="0072305C">
              <w:rPr>
                <w:rFonts w:ascii="Arial" w:hAnsi="Arial" w:cs="Arial"/>
                <w:sz w:val="18"/>
                <w:szCs w:val="18"/>
              </w:rPr>
              <w:t xml:space="preserve"> </w:t>
            </w:r>
            <w:r w:rsidR="00592D32">
              <w:rPr>
                <w:rFonts w:ascii="Arial" w:hAnsi="Arial" w:cs="Arial"/>
                <w:sz w:val="18"/>
                <w:szCs w:val="18"/>
              </w:rPr>
              <w:t>the US and Canada</w:t>
            </w:r>
            <w:r w:rsidR="00EA7802">
              <w:rPr>
                <w:rFonts w:ascii="Arial" w:hAnsi="Arial" w:cs="Arial"/>
                <w:sz w:val="18"/>
                <w:szCs w:val="18"/>
              </w:rPr>
              <w:t>;</w:t>
            </w:r>
          </w:p>
        </w:tc>
        <w:tc>
          <w:tcPr>
            <w:tcW w:w="1894" w:type="dxa"/>
          </w:tcPr>
          <w:p w14:paraId="5CB3E2DC" w14:textId="77777777" w:rsidR="003A4FD1" w:rsidRPr="0072305C" w:rsidRDefault="003A4FD1" w:rsidP="001D43D3">
            <w:pPr>
              <w:spacing w:line="240" w:lineRule="auto"/>
              <w:rPr>
                <w:rFonts w:ascii="Arial" w:hAnsi="Arial" w:cs="Arial"/>
                <w:sz w:val="18"/>
                <w:szCs w:val="18"/>
              </w:rPr>
            </w:pPr>
          </w:p>
        </w:tc>
        <w:tc>
          <w:tcPr>
            <w:tcW w:w="4571" w:type="dxa"/>
          </w:tcPr>
          <w:p w14:paraId="69C9FDC1" w14:textId="70CAAE81" w:rsidR="003A4FD1" w:rsidRPr="0072305C" w:rsidRDefault="003A4FD1" w:rsidP="001D43D3">
            <w:pPr>
              <w:spacing w:line="240" w:lineRule="auto"/>
              <w:rPr>
                <w:rFonts w:ascii="Arial" w:hAnsi="Arial" w:cs="Arial"/>
                <w:sz w:val="18"/>
                <w:szCs w:val="18"/>
              </w:rPr>
            </w:pPr>
            <w:r w:rsidRPr="0072305C">
              <w:rPr>
                <w:rFonts w:ascii="Arial" w:hAnsi="Arial" w:cs="Arial"/>
                <w:sz w:val="18"/>
                <w:szCs w:val="18"/>
              </w:rPr>
              <w:t>See B.13</w:t>
            </w:r>
          </w:p>
          <w:p w14:paraId="7C1304A2" w14:textId="4E060C63" w:rsidR="003A4FD1" w:rsidRPr="0072305C" w:rsidRDefault="003A4FD1" w:rsidP="001D43D3">
            <w:pPr>
              <w:spacing w:line="240" w:lineRule="auto"/>
              <w:rPr>
                <w:rFonts w:ascii="Arial" w:hAnsi="Arial" w:cs="Arial"/>
                <w:sz w:val="18"/>
                <w:szCs w:val="18"/>
              </w:rPr>
            </w:pPr>
            <w:r w:rsidRPr="0072305C">
              <w:rPr>
                <w:rFonts w:ascii="Arial" w:hAnsi="Arial" w:cs="Arial"/>
                <w:sz w:val="18"/>
                <w:szCs w:val="18"/>
              </w:rPr>
              <w:t>E.g.: In-class activit</w:t>
            </w:r>
            <w:r w:rsidR="00E250C3" w:rsidRPr="0072305C">
              <w:rPr>
                <w:rFonts w:ascii="Arial" w:hAnsi="Arial" w:cs="Arial"/>
                <w:sz w:val="18"/>
                <w:szCs w:val="18"/>
              </w:rPr>
              <w:t>ies</w:t>
            </w:r>
            <w:r w:rsidRPr="0072305C">
              <w:rPr>
                <w:rFonts w:ascii="Arial" w:hAnsi="Arial" w:cs="Arial"/>
                <w:sz w:val="18"/>
                <w:szCs w:val="18"/>
              </w:rPr>
              <w:t xml:space="preserve"> and discussion</w:t>
            </w:r>
            <w:r w:rsidR="00E250C3" w:rsidRPr="0072305C">
              <w:rPr>
                <w:rFonts w:ascii="Arial" w:hAnsi="Arial" w:cs="Arial"/>
                <w:sz w:val="18"/>
                <w:szCs w:val="18"/>
              </w:rPr>
              <w:t>s</w:t>
            </w:r>
          </w:p>
        </w:tc>
      </w:tr>
      <w:tr w:rsidR="004B3693" w14:paraId="2E81751C" w14:textId="77777777" w:rsidTr="001D43D3">
        <w:tc>
          <w:tcPr>
            <w:tcW w:w="4315" w:type="dxa"/>
          </w:tcPr>
          <w:p w14:paraId="39D85B34" w14:textId="5A8E226B" w:rsidR="004B3693" w:rsidRPr="0072305C" w:rsidRDefault="004B3693" w:rsidP="001D43D3">
            <w:pPr>
              <w:spacing w:line="240" w:lineRule="auto"/>
              <w:rPr>
                <w:rFonts w:ascii="Arial" w:hAnsi="Arial" w:cs="Arial"/>
                <w:sz w:val="18"/>
                <w:szCs w:val="18"/>
              </w:rPr>
            </w:pPr>
            <w:r w:rsidRPr="0072305C">
              <w:rPr>
                <w:rFonts w:ascii="Arial" w:hAnsi="Arial" w:cs="Arial"/>
                <w:sz w:val="18"/>
                <w:szCs w:val="18"/>
              </w:rPr>
              <w:t xml:space="preserve">To identify and analyze ethical issues </w:t>
            </w:r>
            <w:r w:rsidR="00592D32">
              <w:rPr>
                <w:rFonts w:ascii="Arial" w:hAnsi="Arial" w:cs="Arial"/>
                <w:sz w:val="18"/>
                <w:szCs w:val="18"/>
              </w:rPr>
              <w:t xml:space="preserve">in the practice of archaeology in North America, including </w:t>
            </w:r>
            <w:r w:rsidR="00131565">
              <w:rPr>
                <w:rFonts w:ascii="Arial" w:hAnsi="Arial" w:cs="Arial"/>
                <w:sz w:val="18"/>
                <w:szCs w:val="18"/>
              </w:rPr>
              <w:t>addressing</w:t>
            </w:r>
            <w:r w:rsidR="00592D32">
              <w:rPr>
                <w:rFonts w:ascii="Arial" w:hAnsi="Arial" w:cs="Arial"/>
                <w:sz w:val="18"/>
                <w:szCs w:val="18"/>
              </w:rPr>
              <w:t xml:space="preserve"> the colonial roots of the discipline, </w:t>
            </w:r>
            <w:r w:rsidR="00D735F2">
              <w:rPr>
                <w:rFonts w:ascii="Arial" w:hAnsi="Arial" w:cs="Arial"/>
                <w:sz w:val="18"/>
                <w:szCs w:val="18"/>
              </w:rPr>
              <w:t xml:space="preserve">aspects of </w:t>
            </w:r>
            <w:r w:rsidR="00592D32">
              <w:rPr>
                <w:rFonts w:ascii="Arial" w:hAnsi="Arial" w:cs="Arial"/>
                <w:sz w:val="18"/>
                <w:szCs w:val="18"/>
              </w:rPr>
              <w:t xml:space="preserve">collaboration with descendant communities, and </w:t>
            </w:r>
            <w:r w:rsidR="00D735F2">
              <w:rPr>
                <w:rFonts w:ascii="Arial" w:hAnsi="Arial" w:cs="Arial"/>
                <w:sz w:val="18"/>
                <w:szCs w:val="18"/>
              </w:rPr>
              <w:t xml:space="preserve">the role of </w:t>
            </w:r>
            <w:r w:rsidR="00131565">
              <w:rPr>
                <w:rFonts w:ascii="Arial" w:hAnsi="Arial" w:cs="Arial"/>
                <w:sz w:val="18"/>
                <w:szCs w:val="18"/>
              </w:rPr>
              <w:t>federal</w:t>
            </w:r>
            <w:r w:rsidR="00592D32">
              <w:rPr>
                <w:rFonts w:ascii="Arial" w:hAnsi="Arial" w:cs="Arial"/>
                <w:sz w:val="18"/>
                <w:szCs w:val="18"/>
              </w:rPr>
              <w:t xml:space="preserve"> legislation</w:t>
            </w:r>
            <w:r w:rsidR="00D735F2">
              <w:rPr>
                <w:rFonts w:ascii="Arial" w:hAnsi="Arial" w:cs="Arial"/>
                <w:sz w:val="18"/>
                <w:szCs w:val="18"/>
              </w:rPr>
              <w:t xml:space="preserve"> in the setting of ethical standards</w:t>
            </w:r>
            <w:r w:rsidR="00592D32">
              <w:rPr>
                <w:rFonts w:ascii="Arial" w:hAnsi="Arial" w:cs="Arial"/>
                <w:sz w:val="18"/>
                <w:szCs w:val="18"/>
              </w:rPr>
              <w:t>.</w:t>
            </w:r>
          </w:p>
        </w:tc>
        <w:tc>
          <w:tcPr>
            <w:tcW w:w="1894" w:type="dxa"/>
          </w:tcPr>
          <w:p w14:paraId="3C2F9F93" w14:textId="77777777" w:rsidR="004B3693" w:rsidRPr="0072305C" w:rsidRDefault="004B3693" w:rsidP="001D43D3">
            <w:pPr>
              <w:spacing w:line="240" w:lineRule="auto"/>
              <w:rPr>
                <w:rFonts w:ascii="Arial" w:hAnsi="Arial" w:cs="Arial"/>
                <w:sz w:val="18"/>
                <w:szCs w:val="18"/>
              </w:rPr>
            </w:pPr>
          </w:p>
        </w:tc>
        <w:tc>
          <w:tcPr>
            <w:tcW w:w="4571" w:type="dxa"/>
          </w:tcPr>
          <w:p w14:paraId="52136C74" w14:textId="77777777" w:rsidR="004B3693" w:rsidRPr="0072305C" w:rsidRDefault="004B3693" w:rsidP="001D43D3">
            <w:pPr>
              <w:spacing w:line="240" w:lineRule="auto"/>
              <w:rPr>
                <w:rFonts w:ascii="Arial" w:hAnsi="Arial" w:cs="Arial"/>
                <w:sz w:val="18"/>
                <w:szCs w:val="18"/>
              </w:rPr>
            </w:pPr>
            <w:r w:rsidRPr="0072305C">
              <w:rPr>
                <w:rFonts w:ascii="Arial" w:hAnsi="Arial" w:cs="Arial"/>
                <w:sz w:val="18"/>
                <w:szCs w:val="18"/>
              </w:rPr>
              <w:t>See B.13</w:t>
            </w:r>
          </w:p>
          <w:p w14:paraId="0A09A166" w14:textId="399CCFAD" w:rsidR="004B3693" w:rsidRPr="0072305C" w:rsidRDefault="004B3693" w:rsidP="001D43D3">
            <w:pPr>
              <w:spacing w:line="240" w:lineRule="auto"/>
              <w:rPr>
                <w:rFonts w:ascii="Arial" w:hAnsi="Arial" w:cs="Arial"/>
                <w:sz w:val="18"/>
                <w:szCs w:val="18"/>
              </w:rPr>
            </w:pPr>
            <w:r w:rsidRPr="0072305C">
              <w:rPr>
                <w:rFonts w:ascii="Arial" w:hAnsi="Arial" w:cs="Arial"/>
                <w:sz w:val="18"/>
                <w:szCs w:val="18"/>
              </w:rPr>
              <w:t>E.g.: In-class activities and discussions; Final research project</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7A6473FE" w14:textId="77777777" w:rsidR="002D05AA" w:rsidRDefault="002D05AA" w:rsidP="002D05AA">
            <w:bookmarkStart w:id="27" w:name="outline"/>
            <w:bookmarkEnd w:id="27"/>
          </w:p>
          <w:p w14:paraId="7AC2DE11" w14:textId="6AFB427E" w:rsidR="002D05AA" w:rsidRPr="00790916" w:rsidRDefault="002D05AA" w:rsidP="002D05AA">
            <w:pPr>
              <w:pStyle w:val="ListParagraph"/>
              <w:numPr>
                <w:ilvl w:val="0"/>
                <w:numId w:val="15"/>
              </w:numPr>
              <w:rPr>
                <w:rFonts w:ascii="Arial" w:hAnsi="Arial" w:cs="Arial"/>
                <w:sz w:val="18"/>
                <w:szCs w:val="18"/>
              </w:rPr>
            </w:pPr>
            <w:r w:rsidRPr="00790916">
              <w:rPr>
                <w:rFonts w:ascii="Arial" w:hAnsi="Arial" w:cs="Arial"/>
                <w:sz w:val="18"/>
                <w:szCs w:val="18"/>
              </w:rPr>
              <w:t>The practice of archaeology</w:t>
            </w:r>
            <w:r w:rsidR="0072305C">
              <w:rPr>
                <w:rFonts w:ascii="Arial" w:hAnsi="Arial" w:cs="Arial"/>
                <w:sz w:val="18"/>
                <w:szCs w:val="18"/>
              </w:rPr>
              <w:t xml:space="preserve"> </w:t>
            </w:r>
            <w:r w:rsidR="0072305C" w:rsidRPr="0072305C">
              <w:rPr>
                <w:rFonts w:ascii="Arial" w:hAnsi="Arial" w:cs="Arial"/>
                <w:b/>
                <w:bCs/>
                <w:sz w:val="18"/>
                <w:szCs w:val="18"/>
              </w:rPr>
              <w:t>(1 to 2 weeks)</w:t>
            </w:r>
          </w:p>
          <w:p w14:paraId="20CE29B0" w14:textId="77777777" w:rsidR="002D05AA" w:rsidRPr="00790916" w:rsidRDefault="002D05AA" w:rsidP="002D05AA">
            <w:pPr>
              <w:pStyle w:val="ListParagraph"/>
              <w:numPr>
                <w:ilvl w:val="1"/>
                <w:numId w:val="15"/>
              </w:numPr>
              <w:rPr>
                <w:rFonts w:ascii="Arial" w:hAnsi="Arial" w:cs="Arial"/>
                <w:sz w:val="18"/>
                <w:szCs w:val="18"/>
              </w:rPr>
            </w:pPr>
            <w:r w:rsidRPr="00790916">
              <w:rPr>
                <w:rFonts w:ascii="Arial" w:hAnsi="Arial" w:cs="Arial"/>
                <w:sz w:val="18"/>
                <w:szCs w:val="18"/>
              </w:rPr>
              <w:t>Basic principles and methods</w:t>
            </w:r>
          </w:p>
          <w:p w14:paraId="202213FD" w14:textId="77777777" w:rsidR="002D05AA" w:rsidRPr="00790916" w:rsidRDefault="002D05AA" w:rsidP="002D05AA">
            <w:pPr>
              <w:pStyle w:val="ListParagraph"/>
              <w:numPr>
                <w:ilvl w:val="1"/>
                <w:numId w:val="15"/>
              </w:numPr>
              <w:rPr>
                <w:rFonts w:ascii="Arial" w:hAnsi="Arial" w:cs="Arial"/>
                <w:sz w:val="18"/>
                <w:szCs w:val="18"/>
              </w:rPr>
            </w:pPr>
            <w:r w:rsidRPr="00790916">
              <w:rPr>
                <w:rFonts w:ascii="Arial" w:hAnsi="Arial" w:cs="Arial"/>
                <w:sz w:val="18"/>
                <w:szCs w:val="18"/>
              </w:rPr>
              <w:t>Datasets</w:t>
            </w:r>
          </w:p>
          <w:p w14:paraId="56659C96" w14:textId="77777777" w:rsidR="002D05AA" w:rsidRDefault="002D05AA" w:rsidP="002D05AA">
            <w:pPr>
              <w:pStyle w:val="ListParagraph"/>
              <w:numPr>
                <w:ilvl w:val="1"/>
                <w:numId w:val="15"/>
              </w:numPr>
              <w:rPr>
                <w:rFonts w:ascii="Arial" w:hAnsi="Arial" w:cs="Arial"/>
                <w:sz w:val="18"/>
                <w:szCs w:val="18"/>
              </w:rPr>
            </w:pPr>
            <w:r w:rsidRPr="00790916">
              <w:rPr>
                <w:rFonts w:ascii="Arial" w:hAnsi="Arial" w:cs="Arial"/>
                <w:sz w:val="18"/>
                <w:szCs w:val="18"/>
              </w:rPr>
              <w:t>Past and current analytic frameworks</w:t>
            </w:r>
          </w:p>
          <w:p w14:paraId="067EC90E" w14:textId="77777777" w:rsidR="002D05AA" w:rsidRPr="00790916" w:rsidRDefault="002D05AA" w:rsidP="002D05AA">
            <w:pPr>
              <w:pStyle w:val="ListParagraph"/>
              <w:ind w:left="1440"/>
              <w:rPr>
                <w:rFonts w:ascii="Arial" w:hAnsi="Arial" w:cs="Arial"/>
                <w:sz w:val="18"/>
                <w:szCs w:val="18"/>
              </w:rPr>
            </w:pPr>
          </w:p>
          <w:p w14:paraId="133511DE" w14:textId="77777777" w:rsidR="002D05AA" w:rsidRPr="00790916" w:rsidRDefault="002D05AA" w:rsidP="002D05AA">
            <w:pPr>
              <w:pStyle w:val="ListParagraph"/>
              <w:numPr>
                <w:ilvl w:val="0"/>
                <w:numId w:val="15"/>
              </w:numPr>
              <w:rPr>
                <w:rFonts w:ascii="Arial" w:hAnsi="Arial" w:cs="Arial"/>
                <w:sz w:val="18"/>
                <w:szCs w:val="18"/>
              </w:rPr>
            </w:pPr>
            <w:r w:rsidRPr="00790916">
              <w:rPr>
                <w:rFonts w:ascii="Arial" w:hAnsi="Arial" w:cs="Arial"/>
                <w:sz w:val="18"/>
                <w:szCs w:val="18"/>
              </w:rPr>
              <w:t>The Peopling of the Americas</w:t>
            </w:r>
          </w:p>
          <w:p w14:paraId="75FB3049" w14:textId="77777777" w:rsidR="002D05AA" w:rsidRPr="00790916" w:rsidRDefault="002D05AA" w:rsidP="002D05AA">
            <w:pPr>
              <w:pStyle w:val="ListParagraph"/>
              <w:numPr>
                <w:ilvl w:val="1"/>
                <w:numId w:val="15"/>
              </w:numPr>
              <w:rPr>
                <w:rFonts w:ascii="Arial" w:hAnsi="Arial" w:cs="Arial"/>
                <w:sz w:val="18"/>
                <w:szCs w:val="18"/>
              </w:rPr>
            </w:pPr>
            <w:r w:rsidRPr="00790916">
              <w:rPr>
                <w:rFonts w:ascii="Arial" w:hAnsi="Arial" w:cs="Arial"/>
                <w:sz w:val="18"/>
                <w:szCs w:val="18"/>
              </w:rPr>
              <w:t>Past and current interpretations: what evidence do we have?</w:t>
            </w:r>
          </w:p>
          <w:p w14:paraId="40785B07" w14:textId="77777777" w:rsidR="002D05AA" w:rsidRPr="00790916" w:rsidRDefault="002D05AA" w:rsidP="002D05AA">
            <w:pPr>
              <w:pStyle w:val="ListParagraph"/>
              <w:numPr>
                <w:ilvl w:val="1"/>
                <w:numId w:val="15"/>
              </w:numPr>
              <w:rPr>
                <w:rFonts w:ascii="Arial" w:hAnsi="Arial" w:cs="Arial"/>
                <w:sz w:val="18"/>
                <w:szCs w:val="18"/>
              </w:rPr>
            </w:pPr>
            <w:r w:rsidRPr="00790916">
              <w:rPr>
                <w:rFonts w:ascii="Arial" w:hAnsi="Arial" w:cs="Arial"/>
                <w:sz w:val="18"/>
                <w:szCs w:val="18"/>
              </w:rPr>
              <w:t>Controversies and broader significance: NAGPRA and other points of dissent</w:t>
            </w:r>
          </w:p>
          <w:p w14:paraId="6448F4C8" w14:textId="77777777" w:rsidR="002D05AA" w:rsidRDefault="002D05AA" w:rsidP="002D05AA">
            <w:pPr>
              <w:pStyle w:val="ListParagraph"/>
              <w:numPr>
                <w:ilvl w:val="1"/>
                <w:numId w:val="15"/>
              </w:numPr>
              <w:rPr>
                <w:rFonts w:ascii="Arial" w:hAnsi="Arial" w:cs="Arial"/>
                <w:sz w:val="18"/>
                <w:szCs w:val="18"/>
              </w:rPr>
            </w:pPr>
            <w:r w:rsidRPr="00790916">
              <w:rPr>
                <w:rFonts w:ascii="Arial" w:hAnsi="Arial" w:cs="Arial"/>
                <w:sz w:val="18"/>
                <w:szCs w:val="18"/>
              </w:rPr>
              <w:t xml:space="preserve">Case study: Kennewick Man/The Ancient One </w:t>
            </w:r>
          </w:p>
          <w:p w14:paraId="628D170A" w14:textId="77777777" w:rsidR="002D05AA" w:rsidRPr="00790916" w:rsidRDefault="002D05AA" w:rsidP="002D05AA">
            <w:pPr>
              <w:pStyle w:val="ListParagraph"/>
              <w:ind w:left="1440"/>
              <w:rPr>
                <w:rFonts w:ascii="Arial" w:hAnsi="Arial" w:cs="Arial"/>
                <w:sz w:val="18"/>
                <w:szCs w:val="18"/>
              </w:rPr>
            </w:pPr>
          </w:p>
          <w:p w14:paraId="5DE3834E" w14:textId="2B657CD8" w:rsidR="002D05AA" w:rsidRPr="00790916" w:rsidRDefault="002D05AA" w:rsidP="002D05AA">
            <w:pPr>
              <w:pStyle w:val="ListParagraph"/>
              <w:numPr>
                <w:ilvl w:val="0"/>
                <w:numId w:val="15"/>
              </w:numPr>
              <w:rPr>
                <w:rFonts w:ascii="Arial" w:hAnsi="Arial" w:cs="Arial"/>
                <w:sz w:val="18"/>
                <w:szCs w:val="18"/>
              </w:rPr>
            </w:pPr>
            <w:r w:rsidRPr="00790916">
              <w:rPr>
                <w:rFonts w:ascii="Arial" w:hAnsi="Arial" w:cs="Arial"/>
                <w:sz w:val="18"/>
                <w:szCs w:val="18"/>
              </w:rPr>
              <w:t>Regional overview of pre-Columbian North America</w:t>
            </w:r>
            <w:r>
              <w:rPr>
                <w:rFonts w:ascii="Arial" w:hAnsi="Arial" w:cs="Arial"/>
                <w:sz w:val="18"/>
                <w:szCs w:val="18"/>
              </w:rPr>
              <w:t xml:space="preserve"> </w:t>
            </w:r>
            <w:r w:rsidRPr="002D05AA">
              <w:rPr>
                <w:rFonts w:ascii="Arial" w:hAnsi="Arial" w:cs="Arial"/>
                <w:b/>
                <w:bCs/>
                <w:sz w:val="18"/>
                <w:szCs w:val="18"/>
              </w:rPr>
              <w:t>(2 to 3 weeks</w:t>
            </w:r>
            <w:r>
              <w:rPr>
                <w:rFonts w:ascii="Arial" w:hAnsi="Arial" w:cs="Arial"/>
                <w:b/>
                <w:bCs/>
                <w:sz w:val="18"/>
                <w:szCs w:val="18"/>
              </w:rPr>
              <w:t xml:space="preserve"> of class</w:t>
            </w:r>
            <w:r w:rsidRPr="002D05AA">
              <w:rPr>
                <w:rFonts w:ascii="Arial" w:hAnsi="Arial" w:cs="Arial"/>
                <w:b/>
                <w:bCs/>
                <w:sz w:val="18"/>
                <w:szCs w:val="18"/>
              </w:rPr>
              <w:t>)</w:t>
            </w:r>
          </w:p>
          <w:p w14:paraId="7C3141B1" w14:textId="77777777" w:rsidR="002D05AA" w:rsidRPr="00790916" w:rsidRDefault="002D05AA" w:rsidP="002D05AA">
            <w:pPr>
              <w:pStyle w:val="ListParagraph"/>
              <w:numPr>
                <w:ilvl w:val="1"/>
                <w:numId w:val="15"/>
              </w:numPr>
              <w:rPr>
                <w:rFonts w:ascii="Arial" w:hAnsi="Arial" w:cs="Arial"/>
                <w:sz w:val="18"/>
                <w:szCs w:val="18"/>
              </w:rPr>
            </w:pPr>
            <w:r w:rsidRPr="00790916">
              <w:rPr>
                <w:rFonts w:ascii="Arial" w:hAnsi="Arial" w:cs="Arial"/>
                <w:sz w:val="18"/>
                <w:szCs w:val="18"/>
              </w:rPr>
              <w:t>Hunting, Gathering and Horticulture in the West</w:t>
            </w:r>
          </w:p>
          <w:p w14:paraId="08B214E5" w14:textId="77777777" w:rsidR="002D05AA" w:rsidRPr="00790916" w:rsidRDefault="002D05AA" w:rsidP="002D05AA">
            <w:pPr>
              <w:pStyle w:val="ListParagraph"/>
              <w:numPr>
                <w:ilvl w:val="1"/>
                <w:numId w:val="15"/>
              </w:numPr>
              <w:rPr>
                <w:rFonts w:ascii="Arial" w:hAnsi="Arial" w:cs="Arial"/>
                <w:sz w:val="18"/>
                <w:szCs w:val="18"/>
              </w:rPr>
            </w:pPr>
            <w:r w:rsidRPr="00790916">
              <w:rPr>
                <w:rFonts w:ascii="Arial" w:hAnsi="Arial" w:cs="Arial"/>
                <w:sz w:val="18"/>
                <w:szCs w:val="18"/>
              </w:rPr>
              <w:t>From Archaic to Pueblos in the Southwest</w:t>
            </w:r>
          </w:p>
          <w:p w14:paraId="32D856C1" w14:textId="77777777" w:rsidR="002D05AA" w:rsidRPr="00790916" w:rsidRDefault="002D05AA" w:rsidP="002D05AA">
            <w:pPr>
              <w:pStyle w:val="ListParagraph"/>
              <w:numPr>
                <w:ilvl w:val="1"/>
                <w:numId w:val="15"/>
              </w:numPr>
              <w:rPr>
                <w:rFonts w:ascii="Arial" w:hAnsi="Arial" w:cs="Arial"/>
                <w:sz w:val="18"/>
                <w:szCs w:val="18"/>
              </w:rPr>
            </w:pPr>
            <w:r w:rsidRPr="00790916">
              <w:rPr>
                <w:rFonts w:ascii="Arial" w:hAnsi="Arial" w:cs="Arial"/>
                <w:sz w:val="18"/>
                <w:szCs w:val="18"/>
              </w:rPr>
              <w:t>Southeastern Archaic Traditions</w:t>
            </w:r>
          </w:p>
          <w:p w14:paraId="3085017B" w14:textId="77777777" w:rsidR="002D05AA" w:rsidRPr="00790916" w:rsidRDefault="002D05AA" w:rsidP="002D05AA">
            <w:pPr>
              <w:pStyle w:val="ListParagraph"/>
              <w:numPr>
                <w:ilvl w:val="1"/>
                <w:numId w:val="15"/>
              </w:numPr>
              <w:rPr>
                <w:rFonts w:ascii="Arial" w:hAnsi="Arial" w:cs="Arial"/>
                <w:sz w:val="18"/>
                <w:szCs w:val="18"/>
              </w:rPr>
            </w:pPr>
            <w:r w:rsidRPr="00790916">
              <w:rPr>
                <w:rFonts w:ascii="Arial" w:hAnsi="Arial" w:cs="Arial"/>
                <w:sz w:val="18"/>
                <w:szCs w:val="18"/>
              </w:rPr>
              <w:lastRenderedPageBreak/>
              <w:t>Early and Middle Woodland: Enigmatic Hopewell</w:t>
            </w:r>
          </w:p>
          <w:p w14:paraId="79969D94" w14:textId="77777777" w:rsidR="002D05AA" w:rsidRPr="00790916" w:rsidRDefault="002D05AA" w:rsidP="002D05AA">
            <w:pPr>
              <w:pStyle w:val="ListParagraph"/>
              <w:numPr>
                <w:ilvl w:val="1"/>
                <w:numId w:val="15"/>
              </w:numPr>
              <w:rPr>
                <w:rFonts w:ascii="Arial" w:hAnsi="Arial" w:cs="Arial"/>
                <w:sz w:val="18"/>
                <w:szCs w:val="18"/>
              </w:rPr>
            </w:pPr>
            <w:r w:rsidRPr="00790916">
              <w:rPr>
                <w:rFonts w:ascii="Arial" w:hAnsi="Arial" w:cs="Arial"/>
                <w:sz w:val="18"/>
                <w:szCs w:val="18"/>
              </w:rPr>
              <w:t>Mississippian traditions</w:t>
            </w:r>
          </w:p>
          <w:p w14:paraId="22282510" w14:textId="77777777" w:rsidR="002D05AA" w:rsidRPr="00790916" w:rsidRDefault="002D05AA" w:rsidP="002D05AA">
            <w:pPr>
              <w:pStyle w:val="ListParagraph"/>
              <w:numPr>
                <w:ilvl w:val="1"/>
                <w:numId w:val="15"/>
              </w:numPr>
              <w:rPr>
                <w:rFonts w:ascii="Arial" w:hAnsi="Arial" w:cs="Arial"/>
                <w:sz w:val="18"/>
                <w:szCs w:val="18"/>
              </w:rPr>
            </w:pPr>
            <w:r w:rsidRPr="00790916">
              <w:rPr>
                <w:rFonts w:ascii="Arial" w:hAnsi="Arial" w:cs="Arial"/>
                <w:sz w:val="18"/>
                <w:szCs w:val="18"/>
              </w:rPr>
              <w:t>Great Plains, Arctic and far north</w:t>
            </w:r>
          </w:p>
          <w:p w14:paraId="792298AC" w14:textId="77777777" w:rsidR="002D05AA" w:rsidRPr="00790916" w:rsidRDefault="002D05AA" w:rsidP="002D05AA">
            <w:pPr>
              <w:pStyle w:val="ListParagraph"/>
              <w:numPr>
                <w:ilvl w:val="1"/>
                <w:numId w:val="15"/>
              </w:numPr>
              <w:rPr>
                <w:rFonts w:ascii="Arial" w:hAnsi="Arial" w:cs="Arial"/>
                <w:sz w:val="18"/>
                <w:szCs w:val="18"/>
              </w:rPr>
            </w:pPr>
            <w:r w:rsidRPr="00790916">
              <w:rPr>
                <w:rFonts w:ascii="Arial" w:hAnsi="Arial" w:cs="Arial"/>
                <w:sz w:val="18"/>
                <w:szCs w:val="18"/>
              </w:rPr>
              <w:t xml:space="preserve">Pacific Northwest </w:t>
            </w:r>
          </w:p>
          <w:p w14:paraId="3F47F1B9" w14:textId="77777777" w:rsidR="002D05AA" w:rsidRDefault="002D05AA" w:rsidP="002D05AA">
            <w:pPr>
              <w:pStyle w:val="ListParagraph"/>
              <w:numPr>
                <w:ilvl w:val="1"/>
                <w:numId w:val="15"/>
              </w:numPr>
              <w:rPr>
                <w:rFonts w:ascii="Arial" w:hAnsi="Arial" w:cs="Arial"/>
                <w:sz w:val="18"/>
                <w:szCs w:val="18"/>
              </w:rPr>
            </w:pPr>
            <w:r w:rsidRPr="00790916">
              <w:rPr>
                <w:rFonts w:ascii="Arial" w:hAnsi="Arial" w:cs="Arial"/>
                <w:sz w:val="18"/>
                <w:szCs w:val="18"/>
              </w:rPr>
              <w:t>Northeast</w:t>
            </w:r>
          </w:p>
          <w:p w14:paraId="7CE20EFB" w14:textId="77777777" w:rsidR="002D05AA" w:rsidRPr="00790916" w:rsidRDefault="002D05AA" w:rsidP="002D05AA">
            <w:pPr>
              <w:pStyle w:val="ListParagraph"/>
              <w:ind w:left="1440"/>
              <w:rPr>
                <w:rFonts w:ascii="Arial" w:hAnsi="Arial" w:cs="Arial"/>
                <w:sz w:val="18"/>
                <w:szCs w:val="18"/>
              </w:rPr>
            </w:pPr>
          </w:p>
          <w:p w14:paraId="46112E22" w14:textId="44BAB6F9" w:rsidR="002D05AA" w:rsidRPr="00790916" w:rsidRDefault="002D05AA" w:rsidP="002D05AA">
            <w:pPr>
              <w:pStyle w:val="ListParagraph"/>
              <w:numPr>
                <w:ilvl w:val="0"/>
                <w:numId w:val="15"/>
              </w:numPr>
              <w:rPr>
                <w:rFonts w:ascii="Arial" w:hAnsi="Arial" w:cs="Arial"/>
                <w:sz w:val="18"/>
                <w:szCs w:val="18"/>
              </w:rPr>
            </w:pPr>
            <w:r w:rsidRPr="00790916">
              <w:rPr>
                <w:rFonts w:ascii="Arial" w:hAnsi="Arial" w:cs="Arial"/>
                <w:sz w:val="18"/>
                <w:szCs w:val="18"/>
              </w:rPr>
              <w:t>The invasion of North America: the archaeology of colonialism (and colonial archaeology)</w:t>
            </w:r>
            <w:r>
              <w:rPr>
                <w:rFonts w:ascii="Arial" w:hAnsi="Arial" w:cs="Arial"/>
                <w:sz w:val="18"/>
                <w:szCs w:val="18"/>
              </w:rPr>
              <w:t xml:space="preserve"> (</w:t>
            </w:r>
            <w:r w:rsidRPr="002D05AA">
              <w:rPr>
                <w:rFonts w:ascii="Arial" w:hAnsi="Arial" w:cs="Arial"/>
                <w:b/>
                <w:bCs/>
                <w:sz w:val="18"/>
                <w:szCs w:val="18"/>
              </w:rPr>
              <w:t>2 weeks</w:t>
            </w:r>
            <w:r>
              <w:rPr>
                <w:rFonts w:ascii="Arial" w:hAnsi="Arial" w:cs="Arial"/>
                <w:sz w:val="18"/>
                <w:szCs w:val="18"/>
              </w:rPr>
              <w:t>)</w:t>
            </w:r>
          </w:p>
          <w:p w14:paraId="1C23A5B8" w14:textId="77777777" w:rsidR="002D05AA" w:rsidRPr="00790916" w:rsidRDefault="002D05AA" w:rsidP="002D05AA">
            <w:pPr>
              <w:pStyle w:val="ListParagraph"/>
              <w:numPr>
                <w:ilvl w:val="1"/>
                <w:numId w:val="15"/>
              </w:numPr>
              <w:rPr>
                <w:rFonts w:ascii="Arial" w:hAnsi="Arial" w:cs="Arial"/>
                <w:sz w:val="18"/>
                <w:szCs w:val="18"/>
              </w:rPr>
            </w:pPr>
            <w:r w:rsidRPr="00790916">
              <w:rPr>
                <w:rFonts w:ascii="Arial" w:hAnsi="Arial" w:cs="Arial"/>
                <w:sz w:val="18"/>
                <w:szCs w:val="18"/>
              </w:rPr>
              <w:t>Settler colonialism: archaeology’s colonial roots</w:t>
            </w:r>
          </w:p>
          <w:p w14:paraId="1E9955BE" w14:textId="77777777" w:rsidR="002D05AA" w:rsidRPr="00790916" w:rsidRDefault="002D05AA" w:rsidP="002D05AA">
            <w:pPr>
              <w:pStyle w:val="ListParagraph"/>
              <w:numPr>
                <w:ilvl w:val="1"/>
                <w:numId w:val="15"/>
              </w:numPr>
              <w:rPr>
                <w:rFonts w:ascii="Arial" w:hAnsi="Arial" w:cs="Arial"/>
                <w:sz w:val="18"/>
                <w:szCs w:val="18"/>
              </w:rPr>
            </w:pPr>
            <w:r w:rsidRPr="00790916">
              <w:rPr>
                <w:rFonts w:ascii="Arial" w:hAnsi="Arial" w:cs="Arial"/>
                <w:sz w:val="18"/>
                <w:szCs w:val="18"/>
              </w:rPr>
              <w:t xml:space="preserve">Case studies: </w:t>
            </w:r>
          </w:p>
          <w:p w14:paraId="7B7B21F4" w14:textId="77777777" w:rsidR="002D05AA" w:rsidRPr="00790916" w:rsidRDefault="002D05AA" w:rsidP="002D05AA">
            <w:pPr>
              <w:pStyle w:val="ListParagraph"/>
              <w:numPr>
                <w:ilvl w:val="2"/>
                <w:numId w:val="15"/>
              </w:numPr>
              <w:rPr>
                <w:rFonts w:ascii="Arial" w:hAnsi="Arial" w:cs="Arial"/>
                <w:sz w:val="18"/>
                <w:szCs w:val="18"/>
              </w:rPr>
            </w:pPr>
            <w:r w:rsidRPr="00790916">
              <w:rPr>
                <w:rFonts w:ascii="Arial" w:hAnsi="Arial" w:cs="Arial"/>
                <w:sz w:val="18"/>
                <w:szCs w:val="18"/>
              </w:rPr>
              <w:t xml:space="preserve">Settler colonialism in the Northeast </w:t>
            </w:r>
          </w:p>
          <w:p w14:paraId="3DD275DE" w14:textId="77777777" w:rsidR="002D05AA" w:rsidRPr="00790916" w:rsidRDefault="002D05AA" w:rsidP="002D05AA">
            <w:pPr>
              <w:pStyle w:val="ListParagraph"/>
              <w:numPr>
                <w:ilvl w:val="2"/>
                <w:numId w:val="15"/>
              </w:numPr>
              <w:rPr>
                <w:rFonts w:ascii="Arial" w:hAnsi="Arial" w:cs="Arial"/>
                <w:sz w:val="18"/>
                <w:szCs w:val="18"/>
              </w:rPr>
            </w:pPr>
            <w:r w:rsidRPr="00790916">
              <w:rPr>
                <w:rFonts w:ascii="Arial" w:hAnsi="Arial" w:cs="Arial"/>
                <w:sz w:val="18"/>
                <w:szCs w:val="18"/>
              </w:rPr>
              <w:t>Missions: Southwest (Spanish missions) and Northeast (John Elliot’s “Praying Towns”)</w:t>
            </w:r>
          </w:p>
          <w:p w14:paraId="4E009299" w14:textId="77777777" w:rsidR="002D05AA" w:rsidRPr="00790916" w:rsidRDefault="002D05AA" w:rsidP="002D05AA">
            <w:pPr>
              <w:pStyle w:val="ListParagraph"/>
              <w:numPr>
                <w:ilvl w:val="2"/>
                <w:numId w:val="15"/>
              </w:numPr>
              <w:rPr>
                <w:rFonts w:ascii="Arial" w:hAnsi="Arial" w:cs="Arial"/>
                <w:sz w:val="18"/>
                <w:szCs w:val="18"/>
              </w:rPr>
            </w:pPr>
            <w:r w:rsidRPr="00790916">
              <w:rPr>
                <w:rFonts w:ascii="Arial" w:hAnsi="Arial" w:cs="Arial"/>
                <w:sz w:val="18"/>
                <w:szCs w:val="18"/>
              </w:rPr>
              <w:t>Merchant capitalism: Great Lakes and Northern California</w:t>
            </w:r>
          </w:p>
          <w:p w14:paraId="0704E654" w14:textId="2F4213B9" w:rsidR="002D05AA" w:rsidRDefault="002D05AA" w:rsidP="002D05AA">
            <w:pPr>
              <w:pStyle w:val="ListParagraph"/>
              <w:numPr>
                <w:ilvl w:val="1"/>
                <w:numId w:val="15"/>
              </w:numPr>
              <w:rPr>
                <w:rFonts w:ascii="Arial" w:hAnsi="Arial" w:cs="Arial"/>
                <w:sz w:val="18"/>
                <w:szCs w:val="18"/>
              </w:rPr>
            </w:pPr>
            <w:r w:rsidRPr="00790916">
              <w:rPr>
                <w:rFonts w:ascii="Arial" w:hAnsi="Arial" w:cs="Arial"/>
                <w:sz w:val="18"/>
                <w:szCs w:val="18"/>
              </w:rPr>
              <w:t>Additional themes: violence (physical, sexual, structural) (Barbara Voss); the formation of colonial landscapes; racial and ethnic dynamics</w:t>
            </w:r>
          </w:p>
          <w:p w14:paraId="0E57F21B" w14:textId="77777777" w:rsidR="002D05AA" w:rsidRPr="00790916" w:rsidRDefault="002D05AA" w:rsidP="002D05AA">
            <w:pPr>
              <w:pStyle w:val="ListParagraph"/>
              <w:ind w:left="1440"/>
              <w:rPr>
                <w:rFonts w:ascii="Arial" w:hAnsi="Arial" w:cs="Arial"/>
                <w:sz w:val="18"/>
                <w:szCs w:val="18"/>
              </w:rPr>
            </w:pPr>
          </w:p>
          <w:p w14:paraId="6204E9D3" w14:textId="77777777" w:rsidR="002D05AA" w:rsidRPr="00790916" w:rsidRDefault="002D05AA" w:rsidP="002D05AA">
            <w:pPr>
              <w:pStyle w:val="ListParagraph"/>
              <w:numPr>
                <w:ilvl w:val="0"/>
                <w:numId w:val="15"/>
              </w:numPr>
              <w:rPr>
                <w:rFonts w:ascii="Arial" w:hAnsi="Arial" w:cs="Arial"/>
                <w:sz w:val="18"/>
                <w:szCs w:val="18"/>
              </w:rPr>
            </w:pPr>
            <w:r w:rsidRPr="00790916">
              <w:rPr>
                <w:rFonts w:ascii="Arial" w:hAnsi="Arial" w:cs="Arial"/>
                <w:sz w:val="18"/>
                <w:szCs w:val="18"/>
              </w:rPr>
              <w:t>Indigenous archaeologies: Decolonizing Archaeology</w:t>
            </w:r>
          </w:p>
          <w:p w14:paraId="29E668AE" w14:textId="044A681A" w:rsidR="002D05AA" w:rsidRPr="002D05AA" w:rsidRDefault="002D05AA" w:rsidP="002D05AA">
            <w:pPr>
              <w:pStyle w:val="ListParagraph"/>
              <w:numPr>
                <w:ilvl w:val="1"/>
                <w:numId w:val="15"/>
              </w:numPr>
              <w:rPr>
                <w:rFonts w:ascii="Arial" w:hAnsi="Arial" w:cs="Arial"/>
                <w:sz w:val="18"/>
                <w:szCs w:val="18"/>
              </w:rPr>
            </w:pPr>
            <w:r>
              <w:rPr>
                <w:rFonts w:ascii="Arial" w:hAnsi="Arial" w:cs="Arial"/>
                <w:sz w:val="18"/>
                <w:szCs w:val="18"/>
              </w:rPr>
              <w:t xml:space="preserve">Postcolonial frameworks, Collaborative Archaeology </w:t>
            </w:r>
            <w:r w:rsidR="00B840D8">
              <w:rPr>
                <w:rFonts w:ascii="Arial" w:hAnsi="Arial" w:cs="Arial"/>
                <w:sz w:val="18"/>
                <w:szCs w:val="18"/>
              </w:rPr>
              <w:t xml:space="preserve">(Sonia </w:t>
            </w:r>
            <w:proofErr w:type="spellStart"/>
            <w:r w:rsidR="00B840D8">
              <w:rPr>
                <w:rFonts w:ascii="Arial" w:hAnsi="Arial" w:cs="Arial"/>
                <w:sz w:val="18"/>
                <w:szCs w:val="18"/>
              </w:rPr>
              <w:t>Atalay</w:t>
            </w:r>
            <w:proofErr w:type="spellEnd"/>
            <w:r w:rsidR="00B840D8">
              <w:rPr>
                <w:rFonts w:ascii="Arial" w:hAnsi="Arial" w:cs="Arial"/>
                <w:sz w:val="18"/>
                <w:szCs w:val="18"/>
              </w:rPr>
              <w:t>)</w:t>
            </w:r>
            <w:r w:rsidR="009F203E">
              <w:rPr>
                <w:rFonts w:ascii="Arial" w:hAnsi="Arial" w:cs="Arial"/>
                <w:sz w:val="18"/>
                <w:szCs w:val="18"/>
              </w:rPr>
              <w:t>, issue of “invisibility”</w:t>
            </w:r>
          </w:p>
          <w:p w14:paraId="01111B49" w14:textId="1711BC3E" w:rsidR="002D05AA" w:rsidRPr="002D05AA" w:rsidRDefault="002D05AA" w:rsidP="002D05AA">
            <w:pPr>
              <w:pStyle w:val="ListParagraph"/>
              <w:numPr>
                <w:ilvl w:val="1"/>
                <w:numId w:val="15"/>
              </w:numPr>
              <w:rPr>
                <w:rFonts w:ascii="Arial" w:hAnsi="Arial" w:cs="Arial"/>
                <w:sz w:val="18"/>
                <w:szCs w:val="18"/>
              </w:rPr>
            </w:pPr>
            <w:r w:rsidRPr="00790916">
              <w:rPr>
                <w:rFonts w:ascii="Arial" w:hAnsi="Arial" w:cs="Arial"/>
                <w:sz w:val="18"/>
                <w:szCs w:val="18"/>
              </w:rPr>
              <w:t>Case studies: Resistance, Resilience and Survivance (Silliman)</w:t>
            </w:r>
            <w:r>
              <w:rPr>
                <w:rFonts w:ascii="Arial" w:hAnsi="Arial" w:cs="Arial"/>
                <w:sz w:val="18"/>
                <w:szCs w:val="18"/>
              </w:rPr>
              <w:t xml:space="preserve">, </w:t>
            </w:r>
            <w:r w:rsidRPr="002D05AA">
              <w:rPr>
                <w:rFonts w:ascii="Arial" w:hAnsi="Arial" w:cs="Arial"/>
                <w:sz w:val="18"/>
                <w:szCs w:val="18"/>
              </w:rPr>
              <w:t>Places of Refuge</w:t>
            </w:r>
            <w:r w:rsidR="00B840D8">
              <w:rPr>
                <w:rFonts w:ascii="Arial" w:hAnsi="Arial" w:cs="Arial"/>
                <w:sz w:val="18"/>
                <w:szCs w:val="18"/>
              </w:rPr>
              <w:t xml:space="preserve"> (Schneider)</w:t>
            </w:r>
          </w:p>
          <w:p w14:paraId="085073E6" w14:textId="77777777" w:rsidR="002D05AA" w:rsidRDefault="002D05AA" w:rsidP="002D05AA">
            <w:pPr>
              <w:pStyle w:val="ListParagraph"/>
              <w:numPr>
                <w:ilvl w:val="1"/>
                <w:numId w:val="15"/>
              </w:numPr>
              <w:rPr>
                <w:rFonts w:ascii="Arial" w:hAnsi="Arial" w:cs="Arial"/>
                <w:sz w:val="18"/>
                <w:szCs w:val="18"/>
              </w:rPr>
            </w:pPr>
            <w:r w:rsidRPr="00790916">
              <w:rPr>
                <w:rFonts w:ascii="Arial" w:hAnsi="Arial" w:cs="Arial"/>
                <w:sz w:val="18"/>
                <w:szCs w:val="18"/>
              </w:rPr>
              <w:t>Tribal archaeology programs</w:t>
            </w:r>
          </w:p>
          <w:p w14:paraId="4B5F82A2" w14:textId="77777777" w:rsidR="002D05AA" w:rsidRPr="002D05AA" w:rsidRDefault="002D05AA" w:rsidP="002D05AA">
            <w:pPr>
              <w:pStyle w:val="ListParagraph"/>
              <w:ind w:left="1440"/>
              <w:rPr>
                <w:rFonts w:ascii="Arial" w:hAnsi="Arial" w:cs="Arial"/>
                <w:sz w:val="18"/>
                <w:szCs w:val="18"/>
              </w:rPr>
            </w:pPr>
          </w:p>
          <w:p w14:paraId="3F10B12A" w14:textId="0357BA91" w:rsidR="002D05AA" w:rsidRPr="00790916" w:rsidRDefault="002D05AA" w:rsidP="002D05AA">
            <w:pPr>
              <w:pStyle w:val="ListParagraph"/>
              <w:numPr>
                <w:ilvl w:val="0"/>
                <w:numId w:val="15"/>
              </w:numPr>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 xml:space="preserve">The archaeology of </w:t>
            </w:r>
            <w:r w:rsidR="00C23FE6">
              <w:rPr>
                <w:rFonts w:ascii="Arial" w:hAnsi="Arial" w:cs="Arial"/>
                <w:color w:val="000000" w:themeColor="text1"/>
                <w:sz w:val="18"/>
                <w:szCs w:val="18"/>
                <w:shd w:val="clear" w:color="auto" w:fill="FFFFFF"/>
              </w:rPr>
              <w:t xml:space="preserve">the </w:t>
            </w:r>
            <w:r w:rsidRPr="00790916">
              <w:rPr>
                <w:rFonts w:ascii="Arial" w:hAnsi="Arial" w:cs="Arial"/>
                <w:color w:val="000000" w:themeColor="text1"/>
                <w:sz w:val="18"/>
                <w:szCs w:val="18"/>
                <w:shd w:val="clear" w:color="auto" w:fill="FFFFFF"/>
              </w:rPr>
              <w:t>African American Diaspora</w:t>
            </w:r>
          </w:p>
          <w:p w14:paraId="7E696086" w14:textId="77777777" w:rsidR="002D05AA" w:rsidRPr="00790916" w:rsidRDefault="002D05AA" w:rsidP="002D05AA">
            <w:pPr>
              <w:pStyle w:val="ListParagraph"/>
              <w:numPr>
                <w:ilvl w:val="1"/>
                <w:numId w:val="15"/>
              </w:numPr>
              <w:rPr>
                <w:rFonts w:ascii="Arial" w:hAnsi="Arial" w:cs="Arial"/>
                <w:color w:val="000000" w:themeColor="text1"/>
                <w:sz w:val="18"/>
                <w:szCs w:val="18"/>
                <w:shd w:val="clear" w:color="auto" w:fill="FFFFFF"/>
              </w:rPr>
            </w:pPr>
            <w:r w:rsidRPr="00790916">
              <w:rPr>
                <w:rFonts w:ascii="Arial" w:hAnsi="Arial" w:cs="Arial"/>
                <w:color w:val="000000" w:themeColor="text1"/>
                <w:sz w:val="18"/>
                <w:szCs w:val="18"/>
                <w:shd w:val="clear" w:color="auto" w:fill="FFFFFF"/>
              </w:rPr>
              <w:t>Approaches to the African American experience</w:t>
            </w:r>
          </w:p>
          <w:p w14:paraId="0A04083B" w14:textId="33F1B5D3" w:rsidR="002D05AA" w:rsidRDefault="002D05AA" w:rsidP="002D05AA">
            <w:pPr>
              <w:pStyle w:val="ListParagraph"/>
              <w:numPr>
                <w:ilvl w:val="1"/>
                <w:numId w:val="15"/>
              </w:numPr>
              <w:rPr>
                <w:rFonts w:ascii="Arial" w:hAnsi="Arial" w:cs="Arial"/>
                <w:color w:val="000000" w:themeColor="text1"/>
                <w:sz w:val="18"/>
                <w:szCs w:val="18"/>
                <w:shd w:val="clear" w:color="auto" w:fill="FFFFFF"/>
              </w:rPr>
            </w:pPr>
            <w:r w:rsidRPr="00790916">
              <w:rPr>
                <w:rFonts w:ascii="Arial" w:hAnsi="Arial" w:cs="Arial"/>
                <w:color w:val="000000" w:themeColor="text1"/>
                <w:sz w:val="18"/>
                <w:szCs w:val="18"/>
                <w:shd w:val="clear" w:color="auto" w:fill="FFFFFF"/>
              </w:rPr>
              <w:t xml:space="preserve">Case studies: NYC’s African Burial Ground, Plantation Archaeology, Post-Emancipation </w:t>
            </w:r>
            <w:proofErr w:type="gramStart"/>
            <w:r w:rsidRPr="00790916">
              <w:rPr>
                <w:rFonts w:ascii="Arial" w:hAnsi="Arial" w:cs="Arial"/>
                <w:color w:val="000000" w:themeColor="text1"/>
                <w:sz w:val="18"/>
                <w:szCs w:val="18"/>
                <w:shd w:val="clear" w:color="auto" w:fill="FFFFFF"/>
              </w:rPr>
              <w:t>African</w:t>
            </w:r>
            <w:r>
              <w:rPr>
                <w:rFonts w:ascii="Arial" w:hAnsi="Arial" w:cs="Arial"/>
                <w:color w:val="000000" w:themeColor="text1"/>
                <w:sz w:val="18"/>
                <w:szCs w:val="18"/>
                <w:shd w:val="clear" w:color="auto" w:fill="FFFFFF"/>
              </w:rPr>
              <w:t>-American</w:t>
            </w:r>
            <w:proofErr w:type="gramEnd"/>
            <w:r w:rsidRPr="00790916">
              <w:rPr>
                <w:rFonts w:ascii="Arial" w:hAnsi="Arial" w:cs="Arial"/>
                <w:color w:val="000000" w:themeColor="text1"/>
                <w:sz w:val="18"/>
                <w:szCs w:val="18"/>
                <w:shd w:val="clear" w:color="auto" w:fill="FFFFFF"/>
              </w:rPr>
              <w:t xml:space="preserve"> communities</w:t>
            </w:r>
          </w:p>
          <w:p w14:paraId="2946EAE1" w14:textId="77777777" w:rsidR="002D05AA" w:rsidRPr="002D05AA" w:rsidRDefault="002D05AA" w:rsidP="002D05AA">
            <w:pPr>
              <w:pStyle w:val="ListParagraph"/>
              <w:ind w:left="1440"/>
              <w:rPr>
                <w:rFonts w:ascii="Arial" w:hAnsi="Arial" w:cs="Arial"/>
                <w:color w:val="000000" w:themeColor="text1"/>
                <w:sz w:val="18"/>
                <w:szCs w:val="18"/>
                <w:shd w:val="clear" w:color="auto" w:fill="FFFFFF"/>
              </w:rPr>
            </w:pPr>
          </w:p>
          <w:p w14:paraId="57BC7B3A" w14:textId="77777777" w:rsidR="002D05AA" w:rsidRPr="00790916" w:rsidRDefault="002D05AA" w:rsidP="002D05AA">
            <w:pPr>
              <w:pStyle w:val="ListParagraph"/>
              <w:numPr>
                <w:ilvl w:val="0"/>
                <w:numId w:val="15"/>
              </w:numPr>
              <w:rPr>
                <w:rFonts w:ascii="Arial" w:hAnsi="Arial" w:cs="Arial"/>
                <w:color w:val="000000" w:themeColor="text1"/>
                <w:sz w:val="18"/>
                <w:szCs w:val="18"/>
                <w:shd w:val="clear" w:color="auto" w:fill="FFFFFF"/>
              </w:rPr>
            </w:pPr>
            <w:r w:rsidRPr="00790916">
              <w:rPr>
                <w:rFonts w:ascii="Arial" w:hAnsi="Arial" w:cs="Arial"/>
                <w:color w:val="000000" w:themeColor="text1"/>
                <w:sz w:val="18"/>
                <w:szCs w:val="18"/>
                <w:shd w:val="clear" w:color="auto" w:fill="FFFFFF"/>
              </w:rPr>
              <w:t xml:space="preserve">Labor, </w:t>
            </w:r>
            <w:proofErr w:type="gramStart"/>
            <w:r w:rsidRPr="00790916">
              <w:rPr>
                <w:rFonts w:ascii="Arial" w:hAnsi="Arial" w:cs="Arial"/>
                <w:color w:val="000000" w:themeColor="text1"/>
                <w:sz w:val="18"/>
                <w:szCs w:val="18"/>
                <w:shd w:val="clear" w:color="auto" w:fill="FFFFFF"/>
              </w:rPr>
              <w:t>immigration</w:t>
            </w:r>
            <w:proofErr w:type="gramEnd"/>
            <w:r w:rsidRPr="00790916">
              <w:rPr>
                <w:rFonts w:ascii="Arial" w:hAnsi="Arial" w:cs="Arial"/>
                <w:color w:val="000000" w:themeColor="text1"/>
                <w:sz w:val="18"/>
                <w:szCs w:val="18"/>
                <w:shd w:val="clear" w:color="auto" w:fill="FFFFFF"/>
              </w:rPr>
              <w:t xml:space="preserve"> and class dynamics</w:t>
            </w:r>
          </w:p>
          <w:p w14:paraId="74D037F5" w14:textId="77777777" w:rsidR="002D05AA" w:rsidRPr="00790916" w:rsidRDefault="002D05AA" w:rsidP="002D05AA">
            <w:pPr>
              <w:pStyle w:val="ListParagraph"/>
              <w:numPr>
                <w:ilvl w:val="1"/>
                <w:numId w:val="15"/>
              </w:numPr>
              <w:rPr>
                <w:rFonts w:ascii="Arial" w:hAnsi="Arial" w:cs="Arial"/>
                <w:color w:val="000000" w:themeColor="text1"/>
                <w:sz w:val="18"/>
                <w:szCs w:val="18"/>
                <w:shd w:val="clear" w:color="auto" w:fill="FFFFFF"/>
              </w:rPr>
            </w:pPr>
            <w:r w:rsidRPr="00790916">
              <w:rPr>
                <w:rFonts w:ascii="Arial" w:hAnsi="Arial" w:cs="Arial"/>
                <w:color w:val="000000" w:themeColor="text1"/>
                <w:sz w:val="18"/>
                <w:szCs w:val="18"/>
                <w:shd w:val="clear" w:color="auto" w:fill="FFFFFF"/>
              </w:rPr>
              <w:t>Labor in Spanish Presidios (Silliman)</w:t>
            </w:r>
          </w:p>
          <w:p w14:paraId="72FFB4AD" w14:textId="77777777" w:rsidR="002D05AA" w:rsidRPr="00790916" w:rsidRDefault="002D05AA" w:rsidP="002D05AA">
            <w:pPr>
              <w:pStyle w:val="ListParagraph"/>
              <w:numPr>
                <w:ilvl w:val="1"/>
                <w:numId w:val="15"/>
              </w:numPr>
              <w:rPr>
                <w:rFonts w:ascii="Arial" w:hAnsi="Arial" w:cs="Arial"/>
                <w:color w:val="000000" w:themeColor="text1"/>
                <w:sz w:val="18"/>
                <w:szCs w:val="18"/>
                <w:shd w:val="clear" w:color="auto" w:fill="FFFFFF"/>
              </w:rPr>
            </w:pPr>
            <w:r w:rsidRPr="00790916">
              <w:rPr>
                <w:rFonts w:ascii="Arial" w:hAnsi="Arial" w:cs="Arial"/>
                <w:color w:val="000000" w:themeColor="text1"/>
                <w:sz w:val="18"/>
                <w:szCs w:val="18"/>
                <w:shd w:val="clear" w:color="auto" w:fill="FFFFFF"/>
              </w:rPr>
              <w:t>Chinese Railroad workers and Chinatowns</w:t>
            </w:r>
          </w:p>
          <w:p w14:paraId="56C348A8" w14:textId="77777777" w:rsidR="002D05AA" w:rsidRDefault="002D05AA" w:rsidP="002D05AA">
            <w:pPr>
              <w:pStyle w:val="ListParagraph"/>
              <w:numPr>
                <w:ilvl w:val="1"/>
                <w:numId w:val="15"/>
              </w:numPr>
              <w:rPr>
                <w:rFonts w:ascii="Arial" w:hAnsi="Arial" w:cs="Arial"/>
                <w:color w:val="000000" w:themeColor="text1"/>
                <w:sz w:val="18"/>
                <w:szCs w:val="18"/>
                <w:shd w:val="clear" w:color="auto" w:fill="FFFFFF"/>
              </w:rPr>
            </w:pPr>
            <w:r w:rsidRPr="00790916">
              <w:rPr>
                <w:rFonts w:ascii="Arial" w:hAnsi="Arial" w:cs="Arial"/>
                <w:color w:val="000000" w:themeColor="text1"/>
                <w:sz w:val="18"/>
                <w:szCs w:val="18"/>
                <w:shd w:val="clear" w:color="auto" w:fill="FFFFFF"/>
              </w:rPr>
              <w:t>Mill towns in the Northeast: immigration and ethnic dynamics</w:t>
            </w:r>
          </w:p>
          <w:p w14:paraId="4F49D03E" w14:textId="77777777" w:rsidR="002D05AA" w:rsidRDefault="002D05AA" w:rsidP="002D05AA">
            <w:pPr>
              <w:pStyle w:val="ListParagraph"/>
              <w:ind w:left="1440"/>
              <w:rPr>
                <w:rFonts w:ascii="Arial" w:hAnsi="Arial" w:cs="Arial"/>
                <w:color w:val="000000" w:themeColor="text1"/>
                <w:sz w:val="18"/>
                <w:szCs w:val="18"/>
                <w:shd w:val="clear" w:color="auto" w:fill="FFFFFF"/>
              </w:rPr>
            </w:pPr>
          </w:p>
          <w:p w14:paraId="5B0C421B" w14:textId="22E8D70C" w:rsidR="002D05AA" w:rsidRDefault="002D05AA" w:rsidP="002D05AA">
            <w:pPr>
              <w:pStyle w:val="ListParagraph"/>
              <w:numPr>
                <w:ilvl w:val="0"/>
                <w:numId w:val="15"/>
              </w:numPr>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Racial and Ethnic Dynamics in 19</w:t>
            </w:r>
            <w:r w:rsidRPr="002D05AA">
              <w:rPr>
                <w:rFonts w:ascii="Arial" w:hAnsi="Arial" w:cs="Arial"/>
                <w:color w:val="000000" w:themeColor="text1"/>
                <w:sz w:val="18"/>
                <w:szCs w:val="18"/>
                <w:shd w:val="clear" w:color="auto" w:fill="FFFFFF"/>
                <w:vertAlign w:val="superscript"/>
              </w:rPr>
              <w:t>th</w:t>
            </w:r>
            <w:r>
              <w:rPr>
                <w:rFonts w:ascii="Arial" w:hAnsi="Arial" w:cs="Arial"/>
                <w:color w:val="000000" w:themeColor="text1"/>
                <w:sz w:val="18"/>
                <w:szCs w:val="18"/>
                <w:shd w:val="clear" w:color="auto" w:fill="FFFFFF"/>
              </w:rPr>
              <w:t>-century North America</w:t>
            </w:r>
          </w:p>
          <w:p w14:paraId="0D6967E7" w14:textId="110EF8E9" w:rsidR="002D05AA" w:rsidRDefault="002D05AA" w:rsidP="002D05AA">
            <w:pPr>
              <w:pStyle w:val="ListParagraph"/>
              <w:numPr>
                <w:ilvl w:val="1"/>
                <w:numId w:val="15"/>
              </w:numPr>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Interethnic households</w:t>
            </w:r>
          </w:p>
          <w:p w14:paraId="086820E4" w14:textId="03CABE2C" w:rsidR="002D05AA" w:rsidRPr="002D05AA" w:rsidRDefault="002D05AA" w:rsidP="002D05AA">
            <w:pPr>
              <w:pStyle w:val="ListParagraph"/>
              <w:numPr>
                <w:ilvl w:val="1"/>
                <w:numId w:val="15"/>
              </w:numPr>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Irish immigration in the Northeast</w:t>
            </w:r>
          </w:p>
          <w:p w14:paraId="22ED5533" w14:textId="77777777" w:rsidR="002D05AA" w:rsidRPr="00790916" w:rsidRDefault="002D05AA" w:rsidP="002D05AA">
            <w:pPr>
              <w:rPr>
                <w:rFonts w:ascii="Arial" w:hAnsi="Arial" w:cs="Arial"/>
                <w:color w:val="000000" w:themeColor="text1"/>
                <w:sz w:val="18"/>
                <w:szCs w:val="18"/>
                <w:shd w:val="clear" w:color="auto" w:fill="FFFFFF"/>
              </w:rPr>
            </w:pPr>
          </w:p>
          <w:p w14:paraId="05EA4C0A" w14:textId="77777777" w:rsidR="002D05AA" w:rsidRPr="00790916" w:rsidRDefault="002D05AA" w:rsidP="002D05AA">
            <w:pPr>
              <w:pStyle w:val="ListParagraph"/>
              <w:numPr>
                <w:ilvl w:val="0"/>
                <w:numId w:val="15"/>
              </w:numPr>
              <w:rPr>
                <w:rFonts w:ascii="Arial" w:hAnsi="Arial" w:cs="Arial"/>
                <w:color w:val="000000" w:themeColor="text1"/>
                <w:sz w:val="18"/>
                <w:szCs w:val="18"/>
                <w:shd w:val="clear" w:color="auto" w:fill="FFFFFF"/>
              </w:rPr>
            </w:pPr>
            <w:r w:rsidRPr="00790916">
              <w:rPr>
                <w:rFonts w:ascii="Arial" w:hAnsi="Arial" w:cs="Arial"/>
                <w:color w:val="000000" w:themeColor="text1"/>
                <w:sz w:val="18"/>
                <w:szCs w:val="18"/>
                <w:shd w:val="clear" w:color="auto" w:fill="FFFFFF"/>
              </w:rPr>
              <w:t>The practice of archaeology in North America:</w:t>
            </w:r>
          </w:p>
          <w:p w14:paraId="0873CC31" w14:textId="77777777" w:rsidR="002D05AA" w:rsidRPr="00790916" w:rsidRDefault="002D05AA" w:rsidP="002D05AA">
            <w:pPr>
              <w:pStyle w:val="ListParagraph"/>
              <w:numPr>
                <w:ilvl w:val="1"/>
                <w:numId w:val="15"/>
              </w:numPr>
              <w:rPr>
                <w:rFonts w:ascii="Arial" w:hAnsi="Arial" w:cs="Arial"/>
                <w:color w:val="000000" w:themeColor="text1"/>
                <w:sz w:val="18"/>
                <w:szCs w:val="18"/>
                <w:shd w:val="clear" w:color="auto" w:fill="FFFFFF"/>
              </w:rPr>
            </w:pPr>
            <w:r w:rsidRPr="00790916">
              <w:rPr>
                <w:rFonts w:ascii="Arial" w:hAnsi="Arial" w:cs="Arial"/>
                <w:color w:val="000000" w:themeColor="text1"/>
                <w:sz w:val="18"/>
                <w:szCs w:val="18"/>
                <w:shd w:val="clear" w:color="auto" w:fill="FFFFFF"/>
              </w:rPr>
              <w:t xml:space="preserve">Legislation and federal regulations pertaining to archaeology </w:t>
            </w:r>
          </w:p>
          <w:p w14:paraId="5D6D1BE3" w14:textId="77777777" w:rsidR="002D05AA" w:rsidRPr="00790916" w:rsidRDefault="002D05AA" w:rsidP="002D05AA">
            <w:pPr>
              <w:pStyle w:val="ListParagraph"/>
              <w:numPr>
                <w:ilvl w:val="1"/>
                <w:numId w:val="15"/>
              </w:numPr>
              <w:rPr>
                <w:rFonts w:ascii="Arial" w:hAnsi="Arial" w:cs="Arial"/>
                <w:color w:val="000000" w:themeColor="text1"/>
                <w:sz w:val="18"/>
                <w:szCs w:val="18"/>
                <w:shd w:val="clear" w:color="auto" w:fill="FFFFFF"/>
              </w:rPr>
            </w:pPr>
            <w:r w:rsidRPr="00790916">
              <w:rPr>
                <w:rFonts w:ascii="Arial" w:hAnsi="Arial" w:cs="Arial"/>
                <w:color w:val="000000" w:themeColor="text1"/>
                <w:sz w:val="18"/>
                <w:szCs w:val="18"/>
                <w:shd w:val="clear" w:color="auto" w:fill="FFFFFF"/>
              </w:rPr>
              <w:t>Codes of ethics and professional organizations</w:t>
            </w:r>
          </w:p>
          <w:p w14:paraId="6B2C7A47" w14:textId="09A51BBF" w:rsidR="005E2D3D" w:rsidRPr="005F7B22" w:rsidRDefault="002D05AA" w:rsidP="005F7B22">
            <w:pPr>
              <w:pStyle w:val="ListParagraph"/>
              <w:numPr>
                <w:ilvl w:val="1"/>
                <w:numId w:val="15"/>
              </w:numPr>
              <w:rPr>
                <w:rFonts w:ascii="Arial" w:hAnsi="Arial" w:cs="Arial"/>
                <w:color w:val="000000" w:themeColor="text1"/>
                <w:sz w:val="18"/>
                <w:szCs w:val="18"/>
                <w:shd w:val="clear" w:color="auto" w:fill="FFFFFF"/>
              </w:rPr>
            </w:pPr>
            <w:r w:rsidRPr="00790916">
              <w:rPr>
                <w:rFonts w:ascii="Arial" w:hAnsi="Arial" w:cs="Arial"/>
                <w:color w:val="000000" w:themeColor="text1"/>
                <w:sz w:val="18"/>
                <w:szCs w:val="18"/>
                <w:shd w:val="clear" w:color="auto" w:fill="FFFFFF"/>
              </w:rPr>
              <w:t>Cultural Resource Management and applied archaeology</w:t>
            </w:r>
          </w:p>
        </w:tc>
      </w:tr>
    </w:tbl>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0"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lastRenderedPageBreak/>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40"/>
        <w:gridCol w:w="3148"/>
        <w:gridCol w:w="1285"/>
      </w:tblGrid>
      <w:tr w:rsidR="00115A68" w:rsidRPr="00402602" w14:paraId="67436BB2" w14:textId="77777777" w:rsidTr="00795BCF">
        <w:trPr>
          <w:cantSplit/>
          <w:tblHeader/>
        </w:trPr>
        <w:tc>
          <w:tcPr>
            <w:tcW w:w="3170"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8" w:name="_Signature"/>
        <w:bookmarkEnd w:id="28"/>
        <w:tc>
          <w:tcPr>
            <w:tcW w:w="3196"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0"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795BCF">
        <w:trPr>
          <w:cantSplit/>
          <w:trHeight w:val="489"/>
        </w:trPr>
        <w:tc>
          <w:tcPr>
            <w:tcW w:w="3170" w:type="dxa"/>
            <w:vAlign w:val="center"/>
          </w:tcPr>
          <w:p w14:paraId="2B0991B7" w14:textId="21412645" w:rsidR="00115A68" w:rsidRDefault="00444B66" w:rsidP="0015571B">
            <w:pPr>
              <w:spacing w:line="240" w:lineRule="auto"/>
            </w:pPr>
            <w:r>
              <w:t>Peter Little</w:t>
            </w:r>
          </w:p>
        </w:tc>
        <w:tc>
          <w:tcPr>
            <w:tcW w:w="3254" w:type="dxa"/>
            <w:vAlign w:val="center"/>
          </w:tcPr>
          <w:p w14:paraId="2927DBCB" w14:textId="77D7A2A5" w:rsidR="00115A68" w:rsidRDefault="00115A68" w:rsidP="0015571B">
            <w:pPr>
              <w:spacing w:line="240" w:lineRule="auto"/>
            </w:pPr>
            <w:r>
              <w:t xml:space="preserve">Chair of </w:t>
            </w:r>
            <w:r w:rsidR="00444B66">
              <w:t>Anthropology</w:t>
            </w:r>
          </w:p>
        </w:tc>
        <w:tc>
          <w:tcPr>
            <w:tcW w:w="3196" w:type="dxa"/>
            <w:vAlign w:val="center"/>
          </w:tcPr>
          <w:p w14:paraId="7927CB11" w14:textId="6FB4DB9E" w:rsidR="00115A68" w:rsidRDefault="00413886" w:rsidP="0015571B">
            <w:pPr>
              <w:spacing w:line="240" w:lineRule="auto"/>
            </w:pPr>
            <w:r>
              <w:t>*Signed on paper copy</w:t>
            </w:r>
          </w:p>
        </w:tc>
        <w:tc>
          <w:tcPr>
            <w:tcW w:w="1160" w:type="dxa"/>
            <w:vAlign w:val="center"/>
          </w:tcPr>
          <w:p w14:paraId="06A64098" w14:textId="38700432" w:rsidR="00115A68" w:rsidRDefault="00413886" w:rsidP="0015571B">
            <w:pPr>
              <w:spacing w:line="240" w:lineRule="auto"/>
            </w:pPr>
            <w:r>
              <w:t>4/20/2023</w:t>
            </w:r>
          </w:p>
        </w:tc>
      </w:tr>
      <w:tr w:rsidR="00413886" w14:paraId="5FB4CB46" w14:textId="77777777" w:rsidTr="00795BCF">
        <w:trPr>
          <w:cantSplit/>
          <w:trHeight w:val="489"/>
        </w:trPr>
        <w:tc>
          <w:tcPr>
            <w:tcW w:w="3170" w:type="dxa"/>
            <w:vAlign w:val="center"/>
          </w:tcPr>
          <w:p w14:paraId="6ED2A8A6" w14:textId="7330D772" w:rsidR="00413886" w:rsidRPr="00795BCF" w:rsidRDefault="00413886" w:rsidP="00413886">
            <w:pPr>
              <w:spacing w:line="240" w:lineRule="auto"/>
            </w:pPr>
            <w:r w:rsidRPr="00795BCF">
              <w:t>Earl Simson</w:t>
            </w:r>
          </w:p>
        </w:tc>
        <w:tc>
          <w:tcPr>
            <w:tcW w:w="3254" w:type="dxa"/>
            <w:vAlign w:val="center"/>
          </w:tcPr>
          <w:p w14:paraId="229CC930" w14:textId="1E87B6CA" w:rsidR="00413886" w:rsidRPr="00795BCF" w:rsidRDefault="00413886" w:rsidP="00413886">
            <w:pPr>
              <w:spacing w:line="240" w:lineRule="auto"/>
            </w:pPr>
            <w:r w:rsidRPr="00795BCF">
              <w:t>Dean of Faculty of Arts and Sciences</w:t>
            </w:r>
          </w:p>
        </w:tc>
        <w:tc>
          <w:tcPr>
            <w:tcW w:w="3196" w:type="dxa"/>
            <w:vAlign w:val="center"/>
          </w:tcPr>
          <w:p w14:paraId="73DF0B07" w14:textId="4838DF6B" w:rsidR="00413886" w:rsidRDefault="00413886" w:rsidP="00413886">
            <w:pPr>
              <w:spacing w:line="240" w:lineRule="auto"/>
            </w:pPr>
            <w:r>
              <w:t>*Signed on paper copy</w:t>
            </w:r>
          </w:p>
        </w:tc>
        <w:tc>
          <w:tcPr>
            <w:tcW w:w="1160" w:type="dxa"/>
            <w:vAlign w:val="center"/>
          </w:tcPr>
          <w:p w14:paraId="4EB70E84" w14:textId="0A6F76D7" w:rsidR="00413886" w:rsidRDefault="00413886" w:rsidP="00413886">
            <w:pPr>
              <w:spacing w:line="240" w:lineRule="auto"/>
            </w:pPr>
            <w:r>
              <w:t>4/25/2023</w:t>
            </w:r>
          </w:p>
        </w:tc>
      </w:tr>
    </w:tbl>
    <w:p w14:paraId="35E716CB" w14:textId="77777777" w:rsidR="00115A68" w:rsidRDefault="00115A68" w:rsidP="00115A68">
      <w:pPr>
        <w:pStyle w:val="Heading5"/>
      </w:pPr>
    </w:p>
    <w:p w14:paraId="329B6D81" w14:textId="6285B3CD" w:rsidR="00F64260" w:rsidRPr="00EA1CF1" w:rsidRDefault="00115A68" w:rsidP="00EA1CF1">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9" w:name="acknowledge"/>
        <w:bookmarkEnd w:id="29"/>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sectPr w:rsidR="00F64260" w:rsidRPr="00EA1CF1" w:rsidSect="00CD18D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CDF43" w14:textId="77777777" w:rsidR="00846A3D" w:rsidRDefault="00846A3D" w:rsidP="00FA78CA">
      <w:pPr>
        <w:spacing w:line="240" w:lineRule="auto"/>
      </w:pPr>
      <w:r>
        <w:separator/>
      </w:r>
    </w:p>
  </w:endnote>
  <w:endnote w:type="continuationSeparator" w:id="0">
    <w:p w14:paraId="4916E9DD" w14:textId="77777777" w:rsidR="00846A3D" w:rsidRDefault="00846A3D"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67654" w14:textId="77777777" w:rsidR="00846A3D" w:rsidRDefault="00846A3D" w:rsidP="00FA78CA">
      <w:pPr>
        <w:spacing w:line="240" w:lineRule="auto"/>
      </w:pPr>
      <w:r>
        <w:separator/>
      </w:r>
    </w:p>
  </w:footnote>
  <w:footnote w:type="continuationSeparator" w:id="0">
    <w:p w14:paraId="6CCEE5D1" w14:textId="77777777" w:rsidR="00846A3D" w:rsidRDefault="00846A3D"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6AD1AE5"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413886">
      <w:rPr>
        <w:color w:val="4F6228"/>
      </w:rPr>
      <w:t>22-23-150</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00413886">
      <w:rPr>
        <w:color w:val="4F6228"/>
      </w:rPr>
      <w:t xml:space="preserve">  4/28/2023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2C2"/>
    <w:multiLevelType w:val="hybridMultilevel"/>
    <w:tmpl w:val="4CE672BE"/>
    <w:lvl w:ilvl="0" w:tplc="0C0C0011">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C125D7"/>
    <w:multiLevelType w:val="hybridMultilevel"/>
    <w:tmpl w:val="0C9CFC86"/>
    <w:lvl w:ilvl="0" w:tplc="0C0C0015">
      <w:start w:val="1"/>
      <w:numFmt w:val="upperLetter"/>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936009170">
    <w:abstractNumId w:val="12"/>
  </w:num>
  <w:num w:numId="2" w16cid:durableId="937567010">
    <w:abstractNumId w:val="4"/>
  </w:num>
  <w:num w:numId="3" w16cid:durableId="114374815">
    <w:abstractNumId w:val="10"/>
  </w:num>
  <w:num w:numId="4" w16cid:durableId="1864856297">
    <w:abstractNumId w:val="2"/>
  </w:num>
  <w:num w:numId="5" w16cid:durableId="1568879079">
    <w:abstractNumId w:val="6"/>
  </w:num>
  <w:num w:numId="6" w16cid:durableId="1785342982">
    <w:abstractNumId w:val="13"/>
  </w:num>
  <w:num w:numId="7" w16cid:durableId="1349865076">
    <w:abstractNumId w:val="3"/>
  </w:num>
  <w:num w:numId="8" w16cid:durableId="2138256963">
    <w:abstractNumId w:val="9"/>
  </w:num>
  <w:num w:numId="9" w16cid:durableId="306517208">
    <w:abstractNumId w:val="11"/>
  </w:num>
  <w:num w:numId="10" w16cid:durableId="895553342">
    <w:abstractNumId w:val="5"/>
  </w:num>
  <w:num w:numId="11" w16cid:durableId="1657224013">
    <w:abstractNumId w:val="15"/>
  </w:num>
  <w:num w:numId="12" w16cid:durableId="1992366996">
    <w:abstractNumId w:val="8"/>
  </w:num>
  <w:num w:numId="13" w16cid:durableId="2040547029">
    <w:abstractNumId w:val="1"/>
  </w:num>
  <w:num w:numId="14" w16cid:durableId="1976334183">
    <w:abstractNumId w:val="7"/>
  </w:num>
  <w:num w:numId="15" w16cid:durableId="984313200">
    <w:abstractNumId w:val="0"/>
  </w:num>
  <w:num w:numId="16" w16cid:durableId="21051795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28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4889"/>
    <w:rsid w:val="00027199"/>
    <w:rsid w:val="000301C7"/>
    <w:rsid w:val="00033392"/>
    <w:rsid w:val="0004554C"/>
    <w:rsid w:val="000556B3"/>
    <w:rsid w:val="0005769F"/>
    <w:rsid w:val="000801BC"/>
    <w:rsid w:val="000810FF"/>
    <w:rsid w:val="00084BBB"/>
    <w:rsid w:val="000907CB"/>
    <w:rsid w:val="000A36CD"/>
    <w:rsid w:val="000B00A3"/>
    <w:rsid w:val="000D1497"/>
    <w:rsid w:val="000D21F2"/>
    <w:rsid w:val="000E05EF"/>
    <w:rsid w:val="000E2CBA"/>
    <w:rsid w:val="000F4A33"/>
    <w:rsid w:val="001010FA"/>
    <w:rsid w:val="00101BA4"/>
    <w:rsid w:val="0010291E"/>
    <w:rsid w:val="00103452"/>
    <w:rsid w:val="00115A68"/>
    <w:rsid w:val="0011690A"/>
    <w:rsid w:val="00120C12"/>
    <w:rsid w:val="001278A4"/>
    <w:rsid w:val="00131565"/>
    <w:rsid w:val="0013176C"/>
    <w:rsid w:val="00131B87"/>
    <w:rsid w:val="001429AA"/>
    <w:rsid w:val="00154F20"/>
    <w:rsid w:val="00155826"/>
    <w:rsid w:val="001622D2"/>
    <w:rsid w:val="00166544"/>
    <w:rsid w:val="00175D3F"/>
    <w:rsid w:val="00176C55"/>
    <w:rsid w:val="00181A4B"/>
    <w:rsid w:val="00191F3C"/>
    <w:rsid w:val="001A1D27"/>
    <w:rsid w:val="001A37FB"/>
    <w:rsid w:val="001A51ED"/>
    <w:rsid w:val="001B2E3A"/>
    <w:rsid w:val="001C3A09"/>
    <w:rsid w:val="001D43D3"/>
    <w:rsid w:val="001D6E18"/>
    <w:rsid w:val="001F502E"/>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05AA"/>
    <w:rsid w:val="002D194C"/>
    <w:rsid w:val="002F36B8"/>
    <w:rsid w:val="002F69F8"/>
    <w:rsid w:val="00310D95"/>
    <w:rsid w:val="003153C3"/>
    <w:rsid w:val="00345149"/>
    <w:rsid w:val="00350470"/>
    <w:rsid w:val="0037253D"/>
    <w:rsid w:val="00376A8B"/>
    <w:rsid w:val="003A45F6"/>
    <w:rsid w:val="003A4FD1"/>
    <w:rsid w:val="003B4A52"/>
    <w:rsid w:val="003C0ED5"/>
    <w:rsid w:val="003C1A54"/>
    <w:rsid w:val="003C511E"/>
    <w:rsid w:val="003C757D"/>
    <w:rsid w:val="003D7372"/>
    <w:rsid w:val="003E539A"/>
    <w:rsid w:val="003F099C"/>
    <w:rsid w:val="003F3DF1"/>
    <w:rsid w:val="003F4E82"/>
    <w:rsid w:val="00402602"/>
    <w:rsid w:val="0040631D"/>
    <w:rsid w:val="004105B6"/>
    <w:rsid w:val="00413886"/>
    <w:rsid w:val="004254A0"/>
    <w:rsid w:val="00426C3A"/>
    <w:rsid w:val="004313E6"/>
    <w:rsid w:val="004403BD"/>
    <w:rsid w:val="00442EEA"/>
    <w:rsid w:val="00444B66"/>
    <w:rsid w:val="004507AC"/>
    <w:rsid w:val="00454E79"/>
    <w:rsid w:val="004779B4"/>
    <w:rsid w:val="00480FAA"/>
    <w:rsid w:val="00481ACB"/>
    <w:rsid w:val="004B3693"/>
    <w:rsid w:val="004E57C5"/>
    <w:rsid w:val="004E79A5"/>
    <w:rsid w:val="00517DB2"/>
    <w:rsid w:val="00526851"/>
    <w:rsid w:val="005275F1"/>
    <w:rsid w:val="00541F11"/>
    <w:rsid w:val="005473BC"/>
    <w:rsid w:val="005851AF"/>
    <w:rsid w:val="005873E3"/>
    <w:rsid w:val="00590188"/>
    <w:rsid w:val="00592D32"/>
    <w:rsid w:val="0059448E"/>
    <w:rsid w:val="005B1049"/>
    <w:rsid w:val="005C23BD"/>
    <w:rsid w:val="005C3F83"/>
    <w:rsid w:val="005D389E"/>
    <w:rsid w:val="005E2D3D"/>
    <w:rsid w:val="005F2A05"/>
    <w:rsid w:val="005F5976"/>
    <w:rsid w:val="005F7B22"/>
    <w:rsid w:val="00607B0E"/>
    <w:rsid w:val="0061535B"/>
    <w:rsid w:val="006575EA"/>
    <w:rsid w:val="00670869"/>
    <w:rsid w:val="006761E1"/>
    <w:rsid w:val="00683987"/>
    <w:rsid w:val="006970B0"/>
    <w:rsid w:val="006A5357"/>
    <w:rsid w:val="006A5E85"/>
    <w:rsid w:val="006B20A9"/>
    <w:rsid w:val="006E365C"/>
    <w:rsid w:val="006E3AF2"/>
    <w:rsid w:val="006E6680"/>
    <w:rsid w:val="006E7DBB"/>
    <w:rsid w:val="006F7F90"/>
    <w:rsid w:val="00704CFF"/>
    <w:rsid w:val="00705819"/>
    <w:rsid w:val="00706745"/>
    <w:rsid w:val="007072F7"/>
    <w:rsid w:val="00714B57"/>
    <w:rsid w:val="0072305C"/>
    <w:rsid w:val="0074235B"/>
    <w:rsid w:val="0074395D"/>
    <w:rsid w:val="00743AD2"/>
    <w:rsid w:val="007445F4"/>
    <w:rsid w:val="007554DE"/>
    <w:rsid w:val="00760EA6"/>
    <w:rsid w:val="00766256"/>
    <w:rsid w:val="00776415"/>
    <w:rsid w:val="00795BCF"/>
    <w:rsid w:val="00795D54"/>
    <w:rsid w:val="00796AF7"/>
    <w:rsid w:val="007970C3"/>
    <w:rsid w:val="007A5702"/>
    <w:rsid w:val="007B10BE"/>
    <w:rsid w:val="007D43A4"/>
    <w:rsid w:val="007E4BA6"/>
    <w:rsid w:val="007F4255"/>
    <w:rsid w:val="00807466"/>
    <w:rsid w:val="008122C6"/>
    <w:rsid w:val="008122C7"/>
    <w:rsid w:val="00836281"/>
    <w:rsid w:val="00837253"/>
    <w:rsid w:val="00846A3D"/>
    <w:rsid w:val="0085229B"/>
    <w:rsid w:val="008555D8"/>
    <w:rsid w:val="0085712C"/>
    <w:rsid w:val="008628B1"/>
    <w:rsid w:val="00865915"/>
    <w:rsid w:val="00872775"/>
    <w:rsid w:val="008745BA"/>
    <w:rsid w:val="00880392"/>
    <w:rsid w:val="008836DF"/>
    <w:rsid w:val="00883C55"/>
    <w:rsid w:val="008847FE"/>
    <w:rsid w:val="0089234B"/>
    <w:rsid w:val="008927AF"/>
    <w:rsid w:val="0089400B"/>
    <w:rsid w:val="00896FD2"/>
    <w:rsid w:val="008B1F84"/>
    <w:rsid w:val="008D52B7"/>
    <w:rsid w:val="008E03DD"/>
    <w:rsid w:val="008E07D4"/>
    <w:rsid w:val="008E0FCD"/>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E5EC5"/>
    <w:rsid w:val="009F029C"/>
    <w:rsid w:val="009F203E"/>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279DE"/>
    <w:rsid w:val="00B35315"/>
    <w:rsid w:val="00B4771F"/>
    <w:rsid w:val="00B4784B"/>
    <w:rsid w:val="00B51B79"/>
    <w:rsid w:val="00B605CE"/>
    <w:rsid w:val="00B61DB9"/>
    <w:rsid w:val="00B649C4"/>
    <w:rsid w:val="00B77369"/>
    <w:rsid w:val="00B82B64"/>
    <w:rsid w:val="00B840D8"/>
    <w:rsid w:val="00B85F49"/>
    <w:rsid w:val="00B862BF"/>
    <w:rsid w:val="00B87B39"/>
    <w:rsid w:val="00BB11B9"/>
    <w:rsid w:val="00BC2A73"/>
    <w:rsid w:val="00BC42B6"/>
    <w:rsid w:val="00BD7848"/>
    <w:rsid w:val="00BF1795"/>
    <w:rsid w:val="00BF30C5"/>
    <w:rsid w:val="00C022AC"/>
    <w:rsid w:val="00C0654C"/>
    <w:rsid w:val="00C11283"/>
    <w:rsid w:val="00C23FE6"/>
    <w:rsid w:val="00C25F9D"/>
    <w:rsid w:val="00C31E83"/>
    <w:rsid w:val="00C344AB"/>
    <w:rsid w:val="00C518C1"/>
    <w:rsid w:val="00C53751"/>
    <w:rsid w:val="00C57281"/>
    <w:rsid w:val="00C61286"/>
    <w:rsid w:val="00C63F4F"/>
    <w:rsid w:val="00C812DA"/>
    <w:rsid w:val="00C94576"/>
    <w:rsid w:val="00C969FA"/>
    <w:rsid w:val="00C97577"/>
    <w:rsid w:val="00CA71A8"/>
    <w:rsid w:val="00CC03A7"/>
    <w:rsid w:val="00CC3E7A"/>
    <w:rsid w:val="00CD18DD"/>
    <w:rsid w:val="00CD4615"/>
    <w:rsid w:val="00CE5325"/>
    <w:rsid w:val="00CF0458"/>
    <w:rsid w:val="00CF0A1D"/>
    <w:rsid w:val="00D3235C"/>
    <w:rsid w:val="00D47C28"/>
    <w:rsid w:val="00D56C09"/>
    <w:rsid w:val="00D64DF4"/>
    <w:rsid w:val="00D65F02"/>
    <w:rsid w:val="00D713D7"/>
    <w:rsid w:val="00D735F2"/>
    <w:rsid w:val="00D75B84"/>
    <w:rsid w:val="00D75FF8"/>
    <w:rsid w:val="00D968DA"/>
    <w:rsid w:val="00D96C1E"/>
    <w:rsid w:val="00DA1CC6"/>
    <w:rsid w:val="00DA73A0"/>
    <w:rsid w:val="00DB23D4"/>
    <w:rsid w:val="00DB63D4"/>
    <w:rsid w:val="00DC15D9"/>
    <w:rsid w:val="00DD1BAC"/>
    <w:rsid w:val="00DD69AE"/>
    <w:rsid w:val="00DE2B7A"/>
    <w:rsid w:val="00DE66BD"/>
    <w:rsid w:val="00DF4FCD"/>
    <w:rsid w:val="00DF7C07"/>
    <w:rsid w:val="00E250C3"/>
    <w:rsid w:val="00E36899"/>
    <w:rsid w:val="00E36AF7"/>
    <w:rsid w:val="00E4755D"/>
    <w:rsid w:val="00E500F9"/>
    <w:rsid w:val="00E60627"/>
    <w:rsid w:val="00E641DE"/>
    <w:rsid w:val="00E95018"/>
    <w:rsid w:val="00EA1CF1"/>
    <w:rsid w:val="00EA7802"/>
    <w:rsid w:val="00EB33FD"/>
    <w:rsid w:val="00EC194E"/>
    <w:rsid w:val="00EC38F4"/>
    <w:rsid w:val="00EC63A4"/>
    <w:rsid w:val="00EC7B24"/>
    <w:rsid w:val="00ED0D58"/>
    <w:rsid w:val="00ED1712"/>
    <w:rsid w:val="00F15B95"/>
    <w:rsid w:val="00F252A1"/>
    <w:rsid w:val="00F3256C"/>
    <w:rsid w:val="00F32980"/>
    <w:rsid w:val="00F3716C"/>
    <w:rsid w:val="00F409A9"/>
    <w:rsid w:val="00F4103E"/>
    <w:rsid w:val="00F42F5D"/>
    <w:rsid w:val="00F50687"/>
    <w:rsid w:val="00F62BE0"/>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styleId="NormalWeb">
    <w:name w:val="Normal (Web)"/>
    <w:basedOn w:val="Normal"/>
    <w:uiPriority w:val="99"/>
    <w:unhideWhenUsed/>
    <w:rsid w:val="00154F20"/>
    <w:pPr>
      <w:spacing w:before="100" w:beforeAutospacing="1" w:after="100" w:afterAutospacing="1" w:line="240" w:lineRule="auto"/>
    </w:pPr>
    <w:rPr>
      <w:rFonts w:ascii="Times New Roman" w:hAnsi="Times New Roman"/>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ric.smartcatalogiq.com/2022-2023/catalog/faculty-of-arts-and-sciences/anthropology/archaeology-minor/course-requirements/three-additional-courses-from-the-following-list-two-must-be-from-an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urriculum@ric.edu" TargetMode="External"/><Relationship Id="rId4" Type="http://schemas.openxmlformats.org/officeDocument/2006/relationships/webSettings" Target="webSettings.xml"/><Relationship Id="rId9" Type="http://schemas.openxmlformats.org/officeDocument/2006/relationships/hyperlink" Target="file:///Users/amelieallard/Desktop/transfer%20agree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2909</Words>
  <Characters>16582</Characters>
  <Application>Microsoft Office Word</Application>
  <DocSecurity>0</DocSecurity>
  <Lines>138</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UNDERGRADUATE CURRICULUM COMMITTEE (UCC)</vt:lpstr>
      <vt:lpstr>UNDERGRADUATE CURRICULUM COMMITTEE (UCC)</vt:lpstr>
    </vt:vector>
  </TitlesOfParts>
  <Company>Rhode Island College</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46</cp:revision>
  <cp:lastPrinted>2015-10-02T15:20:00Z</cp:lastPrinted>
  <dcterms:created xsi:type="dcterms:W3CDTF">2023-04-13T18:15:00Z</dcterms:created>
  <dcterms:modified xsi:type="dcterms:W3CDTF">2023-05-05T22:06:00Z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