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D19A" w14:textId="77777777" w:rsidR="00EB51CC" w:rsidRDefault="00EB51CC" w:rsidP="00EB51CC">
      <w:pPr>
        <w:pStyle w:val="Heading1"/>
      </w:pPr>
      <w:r>
        <w:rPr>
          <w:noProof/>
        </w:rPr>
        <w:drawing>
          <wp:anchor distT="0" distB="0" distL="114300" distR="114300" simplePos="0" relativeHeight="251659264" behindDoc="0" locked="0" layoutInCell="1" allowOverlap="1" wp14:anchorId="74DB9497" wp14:editId="26E052DA">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t>UNDERGRADUATE CURRICULUM COMMITTEE (UCC)</w:t>
      </w:r>
      <w:r>
        <w:br/>
        <w:t>PROPOSAL FORM</w:t>
      </w:r>
    </w:p>
    <w:p w14:paraId="19FDE19B" w14:textId="77777777" w:rsidR="00EB51CC" w:rsidRDefault="00EB51CC" w:rsidP="00EB51CC">
      <w:pPr>
        <w:pStyle w:val="Heading2"/>
        <w:numPr>
          <w:ilvl w:val="0"/>
          <w:numId w:val="6"/>
        </w:numPr>
        <w:jc w:val="left"/>
        <w:rPr>
          <w:rStyle w:val="Hyperlink"/>
          <w:spacing w:val="20"/>
          <w:sz w:val="18"/>
        </w:rPr>
      </w:pPr>
      <w:r>
        <w:t>Cover page</w:t>
      </w:r>
      <w:r>
        <w:tab/>
      </w:r>
      <w:r>
        <w:rPr>
          <w:color w:val="auto"/>
          <w:spacing w:val="20"/>
          <w:sz w:val="18"/>
        </w:rPr>
        <w:t>scr</w:t>
      </w:r>
      <w:r w:rsidRPr="00A87611">
        <w:rPr>
          <w:color w:val="auto"/>
          <w:spacing w:val="20"/>
          <w:sz w:val="18"/>
        </w:rPr>
        <w:t>oll over blue text to see further</w:t>
      </w:r>
      <w:r>
        <w:rPr>
          <w:color w:val="auto"/>
          <w:spacing w:val="20"/>
          <w:sz w:val="18"/>
        </w:rPr>
        <w:t xml:space="preserve"> important</w:t>
      </w:r>
      <w:r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Pr="00A87611">
          <w:rPr>
            <w:rStyle w:val="Hyperlink"/>
            <w:spacing w:val="20"/>
            <w:sz w:val="18"/>
          </w:rPr>
          <w:t>instructions</w:t>
        </w:r>
      </w:hyperlink>
      <w:r>
        <w:rPr>
          <w:rStyle w:val="Hyperlink"/>
          <w:spacing w:val="20"/>
          <w:sz w:val="18"/>
        </w:rPr>
        <w:t>:</w:t>
      </w:r>
      <w:r>
        <w:t xml:space="preserve"> </w:t>
      </w:r>
      <w:r w:rsidRPr="009B4B02">
        <w:rPr>
          <w:sz w:val="20"/>
          <w:szCs w:val="20"/>
        </w:rPr>
        <w:t>please read</w:t>
      </w:r>
      <w:r>
        <w:rPr>
          <w:sz w:val="20"/>
          <w:szCs w:val="20"/>
        </w:rPr>
        <w:t>.</w:t>
      </w:r>
    </w:p>
    <w:p w14:paraId="3BC4B6EC" w14:textId="77777777" w:rsidR="00EB51CC" w:rsidRPr="00F3256C" w:rsidRDefault="00EB51CC" w:rsidP="00EB51CC">
      <w:pPr>
        <w:jc w:val="center"/>
        <w:rPr>
          <w:b/>
          <w:sz w:val="20"/>
          <w:szCs w:val="20"/>
        </w:rPr>
      </w:pPr>
      <w:r>
        <w:rPr>
          <w:b/>
          <w:caps/>
          <w:color w:val="632423"/>
          <w:spacing w:val="15"/>
          <w:sz w:val="20"/>
          <w:szCs w:val="20"/>
        </w:rPr>
        <w:t xml:space="preserve">N.B. </w:t>
      </w:r>
      <w:r w:rsidRPr="00F3256C">
        <w:rPr>
          <w:b/>
          <w:caps/>
          <w:color w:val="632423"/>
          <w:spacing w:val="15"/>
          <w:sz w:val="20"/>
          <w:szCs w:val="20"/>
        </w:rPr>
        <w:t xml:space="preserve">DO </w:t>
      </w:r>
      <w:r w:rsidRPr="00F3256C">
        <w:rPr>
          <w:b/>
          <w:caps/>
          <w:color w:val="632423"/>
          <w:spacing w:val="15"/>
          <w:sz w:val="20"/>
          <w:szCs w:val="20"/>
          <w:u w:val="single"/>
        </w:rPr>
        <w:t>NOT</w:t>
      </w:r>
      <w:r>
        <w:rPr>
          <w:b/>
          <w:caps/>
          <w:color w:val="632423"/>
          <w:spacing w:val="15"/>
          <w:sz w:val="20"/>
          <w:szCs w:val="20"/>
        </w:rPr>
        <w:t xml:space="preserve"> USE HIGHLIGHT, please </w:t>
      </w:r>
      <w:r w:rsidRPr="00F3256C">
        <w:rPr>
          <w:b/>
          <w:caps/>
          <w:color w:val="632423"/>
          <w:spacing w:val="15"/>
          <w:sz w:val="20"/>
          <w:szCs w:val="20"/>
        </w:rPr>
        <w:t>DELETE THE WORDS THAT DO NOT APPLY TO YOUR PROPOSAL</w:t>
      </w:r>
    </w:p>
    <w:p w14:paraId="04AA5DBF" w14:textId="77777777" w:rsidR="00EB51CC" w:rsidRPr="00B85F49" w:rsidRDefault="00EB51CC" w:rsidP="00EB51CC">
      <w:pPr>
        <w:jc w:val="center"/>
        <w:rPr>
          <w:b/>
          <w:color w:val="632423" w:themeColor="accent2" w:themeShade="80"/>
        </w:rPr>
      </w:pPr>
      <w:r w:rsidRPr="00B85F49">
        <w:rPr>
          <w:b/>
          <w:color w:val="632423" w:themeColor="accent2" w:themeShade="80"/>
        </w:rPr>
        <w:t xml:space="preserve">ALL numbers in section </w:t>
      </w:r>
      <w:r>
        <w:rPr>
          <w:b/>
          <w:color w:val="632423" w:themeColor="accent2" w:themeShade="80"/>
        </w:rPr>
        <w:t>(</w:t>
      </w:r>
      <w:r w:rsidRPr="00B85F49">
        <w:rPr>
          <w:b/>
          <w:color w:val="632423" w:themeColor="accent2" w:themeShade="80"/>
        </w:rPr>
        <w:t>A</w:t>
      </w:r>
      <w:r>
        <w:rPr>
          <w:b/>
          <w:color w:val="632423" w:themeColor="accent2" w:themeShade="80"/>
        </w:rPr>
        <w:t>)</w:t>
      </w:r>
      <w:r w:rsidRPr="00B85F49">
        <w:rPr>
          <w:b/>
          <w:color w:val="632423" w:themeColor="accent2" w:themeShade="80"/>
        </w:rPr>
        <w:t xml:space="preserve"> need to be completed, including the impact ones.</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EB51CC" w:rsidRPr="006E3AF2" w14:paraId="0E2E0402" w14:textId="77777777" w:rsidTr="00FA1E8C">
        <w:trPr>
          <w:cantSplit/>
        </w:trPr>
        <w:tc>
          <w:tcPr>
            <w:tcW w:w="1111" w:type="pct"/>
            <w:vAlign w:val="center"/>
          </w:tcPr>
          <w:p w14:paraId="16DB0BFB" w14:textId="77777777" w:rsidR="00EB51CC" w:rsidRPr="00B649C4" w:rsidRDefault="00EB51CC" w:rsidP="00FA1E8C">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6C675A5F" w14:textId="61BAC878" w:rsidR="00EB51CC" w:rsidRPr="00A83A6C" w:rsidRDefault="002C5250" w:rsidP="00FA1E8C">
            <w:pPr>
              <w:pStyle w:val="Heading5"/>
              <w:rPr>
                <w:b/>
              </w:rPr>
            </w:pPr>
            <w:bookmarkStart w:id="0" w:name="Proposal"/>
            <w:bookmarkEnd w:id="0"/>
            <w:r>
              <w:rPr>
                <w:b/>
              </w:rPr>
              <w:t>POL 269 International LGBTIQ+ Rights</w:t>
            </w:r>
          </w:p>
        </w:tc>
        <w:tc>
          <w:tcPr>
            <w:tcW w:w="131" w:type="pct"/>
            <w:vMerge w:val="restart"/>
          </w:tcPr>
          <w:p w14:paraId="5402E592" w14:textId="77777777" w:rsidR="00EB51CC" w:rsidRPr="008E0FCD" w:rsidRDefault="00EB51CC" w:rsidP="00FA1E8C">
            <w:pPr>
              <w:spacing w:line="240" w:lineRule="auto"/>
              <w:rPr>
                <w:b/>
              </w:rPr>
            </w:pPr>
            <w:bookmarkStart w:id="1" w:name="_MON_1418820125"/>
            <w:bookmarkStart w:id="2" w:name="affecred"/>
            <w:bookmarkEnd w:id="1"/>
            <w:bookmarkEnd w:id="2"/>
          </w:p>
        </w:tc>
      </w:tr>
      <w:tr w:rsidR="00EB51CC" w:rsidRPr="006E3AF2" w14:paraId="2E46D06F" w14:textId="77777777" w:rsidTr="00FA1E8C">
        <w:trPr>
          <w:cantSplit/>
        </w:trPr>
        <w:tc>
          <w:tcPr>
            <w:tcW w:w="1111" w:type="pct"/>
            <w:vAlign w:val="center"/>
          </w:tcPr>
          <w:p w14:paraId="3BAC77EC" w14:textId="77777777" w:rsidR="00EB51CC" w:rsidRPr="00B649C4" w:rsidRDefault="00EB51CC" w:rsidP="00FA1E8C">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194F1783" w14:textId="6BE20248" w:rsidR="00EB51CC" w:rsidRPr="005F2A05" w:rsidRDefault="009C382F" w:rsidP="00FA1E8C">
            <w:pPr>
              <w:rPr>
                <w:b/>
              </w:rPr>
            </w:pPr>
            <w:bookmarkStart w:id="3" w:name="type"/>
            <w:r>
              <w:rPr>
                <w:b/>
              </w:rPr>
              <w:t>Course: c</w:t>
            </w:r>
            <w:r w:rsidR="00EB51CC" w:rsidRPr="005F2A05">
              <w:rPr>
                <w:b/>
              </w:rPr>
              <w:t>reation</w:t>
            </w:r>
            <w:bookmarkEnd w:id="3"/>
            <w:r w:rsidR="00EB51CC" w:rsidRPr="005F2A05">
              <w:rPr>
                <w:b/>
              </w:rPr>
              <w:t xml:space="preserve"> </w:t>
            </w:r>
          </w:p>
        </w:tc>
        <w:tc>
          <w:tcPr>
            <w:tcW w:w="131" w:type="pct"/>
            <w:vMerge/>
          </w:tcPr>
          <w:p w14:paraId="0A45AE92" w14:textId="77777777" w:rsidR="00EB51CC" w:rsidRPr="005F2A05" w:rsidRDefault="00EB51CC" w:rsidP="00FA1E8C">
            <w:pPr>
              <w:rPr>
                <w:b/>
              </w:rPr>
            </w:pPr>
          </w:p>
        </w:tc>
      </w:tr>
      <w:tr w:rsidR="00EB51CC" w:rsidRPr="006E3AF2" w14:paraId="32E506D1" w14:textId="77777777" w:rsidTr="00FA1E8C">
        <w:trPr>
          <w:cantSplit/>
        </w:trPr>
        <w:tc>
          <w:tcPr>
            <w:tcW w:w="1111" w:type="pct"/>
            <w:vAlign w:val="center"/>
          </w:tcPr>
          <w:p w14:paraId="6DB71168" w14:textId="77777777" w:rsidR="00EB51CC" w:rsidRPr="00B649C4" w:rsidRDefault="00EB51CC" w:rsidP="00FA1E8C">
            <w:r w:rsidRPr="00B649C4">
              <w:t>A</w:t>
            </w:r>
            <w:r>
              <w:t>.</w:t>
            </w:r>
            <w:r w:rsidRPr="00B649C4">
              <w:t xml:space="preserve">3. </w:t>
            </w:r>
            <w:hyperlink w:anchor="Originator" w:tooltip="Name of the person submitting the proposal" w:history="1">
              <w:r w:rsidRPr="00B649C4">
                <w:rPr>
                  <w:rStyle w:val="Hyperlink"/>
                </w:rPr>
                <w:t>Originator</w:t>
              </w:r>
            </w:hyperlink>
          </w:p>
        </w:tc>
        <w:tc>
          <w:tcPr>
            <w:tcW w:w="1160" w:type="pct"/>
          </w:tcPr>
          <w:p w14:paraId="2323AFE1" w14:textId="60955193" w:rsidR="00EB51CC" w:rsidRPr="00B605CE" w:rsidRDefault="002C5250" w:rsidP="00FA1E8C">
            <w:pPr>
              <w:rPr>
                <w:b/>
              </w:rPr>
            </w:pPr>
            <w:bookmarkStart w:id="4" w:name="Originator"/>
            <w:bookmarkEnd w:id="4"/>
            <w:r>
              <w:rPr>
                <w:b/>
              </w:rPr>
              <w:t>Robyn Linde</w:t>
            </w:r>
          </w:p>
        </w:tc>
        <w:tc>
          <w:tcPr>
            <w:tcW w:w="1210" w:type="pct"/>
          </w:tcPr>
          <w:p w14:paraId="2B1F1033" w14:textId="77777777" w:rsidR="00EB51CC" w:rsidRPr="00946B20" w:rsidRDefault="00000000" w:rsidP="00FA1E8C">
            <w:hyperlink w:anchor="home_dept" w:tooltip="Which department, program, academic unit, office, and/or school is primarily responsible for the curriculum change?" w:history="1">
              <w:r w:rsidR="00EB51CC" w:rsidRPr="00946B20">
                <w:rPr>
                  <w:rStyle w:val="Hyperlink"/>
                </w:rPr>
                <w:t>Home department</w:t>
              </w:r>
            </w:hyperlink>
          </w:p>
        </w:tc>
        <w:tc>
          <w:tcPr>
            <w:tcW w:w="1519" w:type="pct"/>
            <w:gridSpan w:val="3"/>
          </w:tcPr>
          <w:p w14:paraId="61BD369D" w14:textId="488ED6A7" w:rsidR="00EB51CC" w:rsidRPr="00B605CE" w:rsidRDefault="002C5250" w:rsidP="00FA1E8C">
            <w:pPr>
              <w:rPr>
                <w:b/>
              </w:rPr>
            </w:pPr>
            <w:bookmarkStart w:id="5" w:name="home_dept"/>
            <w:bookmarkEnd w:id="5"/>
            <w:r>
              <w:rPr>
                <w:b/>
              </w:rPr>
              <w:t>Political Science</w:t>
            </w:r>
          </w:p>
        </w:tc>
      </w:tr>
      <w:tr w:rsidR="00EB51CC" w:rsidRPr="006E3AF2" w14:paraId="02633C43" w14:textId="77777777" w:rsidTr="002C5250">
        <w:trPr>
          <w:trHeight w:val="3859"/>
        </w:trPr>
        <w:tc>
          <w:tcPr>
            <w:tcW w:w="1111" w:type="pct"/>
            <w:vAlign w:val="center"/>
          </w:tcPr>
          <w:p w14:paraId="17435B57" w14:textId="77777777" w:rsidR="00EB51CC" w:rsidRPr="00B649C4" w:rsidRDefault="00EB51CC" w:rsidP="00FA1E8C">
            <w:r w:rsidRPr="00B649C4">
              <w:t>A</w:t>
            </w:r>
            <w:r>
              <w:t>.</w:t>
            </w:r>
            <w:r w:rsidRPr="00B649C4">
              <w:t xml:space="preserve">4. </w:t>
            </w:r>
            <w:hyperlink w:anchor="Rationale" w:tooltip="Give the curricular rationale for the proposal. If this is a revision, you need to include explanations for every aspect you want to change. Also, include how this will impact students and faculty (This is the MOST important response on this proposal.)" w:history="1">
              <w:r w:rsidRPr="008D52B7">
                <w:rPr>
                  <w:rStyle w:val="Hyperlink"/>
                </w:rPr>
                <w:t>Context and Rationale</w:t>
              </w:r>
            </w:hyperlink>
            <w:r>
              <w:rPr>
                <w:rStyle w:val="Hyperlink"/>
              </w:rPr>
              <w:t xml:space="preserve"> </w:t>
            </w:r>
          </w:p>
        </w:tc>
        <w:tc>
          <w:tcPr>
            <w:tcW w:w="3889" w:type="pct"/>
            <w:gridSpan w:val="5"/>
          </w:tcPr>
          <w:p w14:paraId="4897CB68" w14:textId="1B79CBEC" w:rsidR="00EB51CC" w:rsidRPr="009C382F" w:rsidRDefault="002C5250" w:rsidP="00FA1E8C">
            <w:pPr>
              <w:rPr>
                <w:rFonts w:asciiTheme="minorHAnsi" w:hAnsiTheme="minorHAnsi" w:cstheme="majorHAnsi"/>
                <w:b/>
              </w:rPr>
            </w:pPr>
            <w:bookmarkStart w:id="6" w:name="Rationale"/>
            <w:bookmarkEnd w:id="6"/>
            <w:r w:rsidRPr="009C382F">
              <w:rPr>
                <w:rFonts w:asciiTheme="minorHAnsi" w:hAnsiTheme="minorHAnsi" w:cstheme="majorHAnsi"/>
                <w:b/>
              </w:rPr>
              <w:t xml:space="preserve">This course fills a gap in current program offerings by providing a comparative lens with which to view the development, challenges, and successes of the global gay rights movement.  The meteoric rise of global LGBTIQ+ rights is both part of and distinct from prior civil rights movements. We seek in the course to understand this phenomenon, the complexities of sexuality and identity, and the ways in which political actors manifest their claims to equality, dignity, and happiness. This course will explore the rights of lesbian, gay, bisexual, transgender, intersex and queer individuals and their communities from an international and comparative perspective. Students will learn the history of the global gay rights movement, understand gender and sexual oppression, and evaluate modern efforts to utilize nongovernmental organizations (NGOs) and international governmental organizations (IGOs) to achieve equal rights. We will, above all, frequently and consistently evaluate the LGBTIQ+ agenda, claims to Western bias in its development, and efforts by civil society to </w:t>
            </w:r>
            <w:proofErr w:type="gramStart"/>
            <w:r w:rsidRPr="009C382F">
              <w:rPr>
                <w:rFonts w:asciiTheme="minorHAnsi" w:hAnsiTheme="minorHAnsi" w:cstheme="majorHAnsi"/>
                <w:b/>
              </w:rPr>
              <w:t>lift up</w:t>
            </w:r>
            <w:proofErr w:type="gramEnd"/>
            <w:r w:rsidRPr="009C382F">
              <w:rPr>
                <w:rFonts w:asciiTheme="minorHAnsi" w:hAnsiTheme="minorHAnsi" w:cstheme="majorHAnsi"/>
                <w:b/>
              </w:rPr>
              <w:t xml:space="preserve"> marginalized voices including those in the Global South. </w:t>
            </w:r>
          </w:p>
        </w:tc>
      </w:tr>
      <w:tr w:rsidR="00EB51CC" w:rsidRPr="006E3AF2" w14:paraId="17D7789D" w14:textId="77777777" w:rsidTr="00FA1E8C">
        <w:tc>
          <w:tcPr>
            <w:tcW w:w="1111" w:type="pct"/>
            <w:vAlign w:val="center"/>
          </w:tcPr>
          <w:p w14:paraId="340B83E6" w14:textId="77777777" w:rsidR="00EB51CC" w:rsidRDefault="00EB51CC" w:rsidP="00FA1E8C">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tc>
        <w:tc>
          <w:tcPr>
            <w:tcW w:w="3889" w:type="pct"/>
            <w:gridSpan w:val="5"/>
          </w:tcPr>
          <w:p w14:paraId="38CFD2D1" w14:textId="27F6918F" w:rsidR="00EB51CC" w:rsidRPr="00B649C4" w:rsidRDefault="002C5250" w:rsidP="00FA1E8C">
            <w:pPr>
              <w:rPr>
                <w:b/>
              </w:rPr>
            </w:pPr>
            <w:bookmarkStart w:id="7" w:name="student_impact"/>
            <w:bookmarkEnd w:id="7"/>
            <w:r>
              <w:rPr>
                <w:b/>
              </w:rPr>
              <w:t>Exposure to cultural differences among LGBTIQ+ communities around the world, including an analysis of comparative approaches and understandings of justice, equality, and happiness.</w:t>
            </w:r>
          </w:p>
        </w:tc>
      </w:tr>
      <w:tr w:rsidR="00EB51CC" w:rsidRPr="006E3AF2" w14:paraId="5F439022" w14:textId="77777777" w:rsidTr="00FA1E8C">
        <w:tc>
          <w:tcPr>
            <w:tcW w:w="1111" w:type="pct"/>
            <w:vAlign w:val="center"/>
          </w:tcPr>
          <w:p w14:paraId="403AECF6" w14:textId="77777777" w:rsidR="00EB51CC" w:rsidRPr="00B649C4" w:rsidRDefault="00EB51CC" w:rsidP="00FA1E8C">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2FA16F9C" w14:textId="27DF0DC1" w:rsidR="00EB51CC" w:rsidRPr="00B649C4" w:rsidRDefault="002C5250" w:rsidP="00FA1E8C">
            <w:pPr>
              <w:rPr>
                <w:b/>
              </w:rPr>
            </w:pPr>
            <w:bookmarkStart w:id="8" w:name="prog_impact"/>
            <w:bookmarkEnd w:id="8"/>
            <w:r>
              <w:rPr>
                <w:b/>
              </w:rPr>
              <w:t>none</w:t>
            </w:r>
          </w:p>
        </w:tc>
      </w:tr>
      <w:tr w:rsidR="00EB51CC" w:rsidRPr="00C25F9D" w14:paraId="3647FD90" w14:textId="77777777" w:rsidTr="00FA1E8C">
        <w:trPr>
          <w:cantSplit/>
        </w:trPr>
        <w:tc>
          <w:tcPr>
            <w:tcW w:w="1111" w:type="pct"/>
            <w:vMerge w:val="restart"/>
            <w:vAlign w:val="center"/>
          </w:tcPr>
          <w:p w14:paraId="3DFD47BC" w14:textId="77777777" w:rsidR="00EB51CC" w:rsidRPr="00B649C4" w:rsidRDefault="00EB51CC" w:rsidP="00FA1E8C">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38B5D9E7" w14:textId="77777777" w:rsidR="00EB51CC" w:rsidRDefault="00000000" w:rsidP="00FA1E8C">
            <w:hyperlink w:anchor="faculty" w:tooltip="Need to hire new full-time or part-time faculty? This is where you indicate if this proposal will be affecting FLH in your department/program." w:history="1">
              <w:r w:rsidR="00EB51CC" w:rsidRPr="00905E67">
                <w:rPr>
                  <w:rStyle w:val="Hyperlink"/>
                  <w:i/>
                </w:rPr>
                <w:t>Faculty PT &amp; FT</w:t>
              </w:r>
            </w:hyperlink>
            <w:r w:rsidR="00EB51CC">
              <w:t xml:space="preserve">: </w:t>
            </w:r>
          </w:p>
        </w:tc>
        <w:tc>
          <w:tcPr>
            <w:tcW w:w="0" w:type="auto"/>
            <w:gridSpan w:val="4"/>
          </w:tcPr>
          <w:p w14:paraId="33754E42" w14:textId="03A05720" w:rsidR="00EB51CC" w:rsidRPr="00C25F9D" w:rsidRDefault="002C5250" w:rsidP="00FA1E8C">
            <w:pPr>
              <w:rPr>
                <w:b/>
              </w:rPr>
            </w:pPr>
            <w:r>
              <w:rPr>
                <w:b/>
              </w:rPr>
              <w:t>none</w:t>
            </w:r>
          </w:p>
        </w:tc>
      </w:tr>
      <w:tr w:rsidR="00EB51CC" w:rsidRPr="00C25F9D" w14:paraId="3B2BCDBD" w14:textId="77777777" w:rsidTr="00FA1E8C">
        <w:trPr>
          <w:cantSplit/>
        </w:trPr>
        <w:tc>
          <w:tcPr>
            <w:tcW w:w="1111" w:type="pct"/>
            <w:vMerge/>
            <w:vAlign w:val="center"/>
          </w:tcPr>
          <w:p w14:paraId="02D75103" w14:textId="77777777" w:rsidR="00EB51CC" w:rsidRPr="00B649C4" w:rsidRDefault="00EB51CC" w:rsidP="00FA1E8C"/>
        </w:tc>
        <w:tc>
          <w:tcPr>
            <w:tcW w:w="1160" w:type="pct"/>
          </w:tcPr>
          <w:p w14:paraId="194B8F72" w14:textId="77777777" w:rsidR="00EB51CC" w:rsidRPr="000E2CBA" w:rsidRDefault="00000000" w:rsidP="00FA1E8C">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EB51CC" w:rsidRPr="004313E6">
                <w:rPr>
                  <w:rStyle w:val="Hyperlink"/>
                  <w:i/>
                </w:rPr>
                <w:t>Library</w:t>
              </w:r>
              <w:r w:rsidR="00EB51CC" w:rsidRPr="004313E6">
                <w:rPr>
                  <w:rStyle w:val="Hyperlink"/>
                </w:rPr>
                <w:t>:</w:t>
              </w:r>
            </w:hyperlink>
          </w:p>
        </w:tc>
        <w:tc>
          <w:tcPr>
            <w:tcW w:w="0" w:type="auto"/>
            <w:gridSpan w:val="4"/>
          </w:tcPr>
          <w:p w14:paraId="02CADA78" w14:textId="006E8058" w:rsidR="00EB51CC" w:rsidRPr="00C25F9D" w:rsidRDefault="002C5250" w:rsidP="00FA1E8C">
            <w:pPr>
              <w:rPr>
                <w:b/>
              </w:rPr>
            </w:pPr>
            <w:r>
              <w:rPr>
                <w:b/>
              </w:rPr>
              <w:t>none</w:t>
            </w:r>
          </w:p>
        </w:tc>
      </w:tr>
      <w:tr w:rsidR="00EB51CC" w:rsidRPr="00C25F9D" w14:paraId="024D3BA1" w14:textId="77777777" w:rsidTr="00FA1E8C">
        <w:trPr>
          <w:cantSplit/>
        </w:trPr>
        <w:tc>
          <w:tcPr>
            <w:tcW w:w="1111" w:type="pct"/>
            <w:vMerge/>
            <w:vAlign w:val="center"/>
          </w:tcPr>
          <w:p w14:paraId="1A80A295" w14:textId="77777777" w:rsidR="00EB51CC" w:rsidRPr="00B649C4" w:rsidRDefault="00EB51CC" w:rsidP="00FA1E8C"/>
        </w:tc>
        <w:tc>
          <w:tcPr>
            <w:tcW w:w="1160" w:type="pct"/>
          </w:tcPr>
          <w:p w14:paraId="53E9ED38" w14:textId="77777777" w:rsidR="00EB51CC" w:rsidRPr="00704CFF" w:rsidRDefault="00000000" w:rsidP="00FA1E8C">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EB51CC" w:rsidRPr="00A87611">
                <w:rPr>
                  <w:rStyle w:val="Hyperlink"/>
                  <w:i/>
                </w:rPr>
                <w:t>Technology</w:t>
              </w:r>
            </w:hyperlink>
          </w:p>
        </w:tc>
        <w:tc>
          <w:tcPr>
            <w:tcW w:w="0" w:type="auto"/>
            <w:gridSpan w:val="4"/>
          </w:tcPr>
          <w:p w14:paraId="503E54EF" w14:textId="3B3D01D8" w:rsidR="00EB51CC" w:rsidRPr="00C25F9D" w:rsidRDefault="002C5250" w:rsidP="00FA1E8C">
            <w:pPr>
              <w:rPr>
                <w:b/>
              </w:rPr>
            </w:pPr>
            <w:r>
              <w:rPr>
                <w:b/>
              </w:rPr>
              <w:t>none</w:t>
            </w:r>
          </w:p>
        </w:tc>
      </w:tr>
      <w:tr w:rsidR="00EB51CC" w:rsidRPr="00C25F9D" w14:paraId="2781D09F" w14:textId="77777777" w:rsidTr="00FA1E8C">
        <w:trPr>
          <w:cantSplit/>
        </w:trPr>
        <w:tc>
          <w:tcPr>
            <w:tcW w:w="1111" w:type="pct"/>
            <w:vMerge/>
            <w:vAlign w:val="center"/>
          </w:tcPr>
          <w:p w14:paraId="67F54B0E" w14:textId="77777777" w:rsidR="00EB51CC" w:rsidRPr="00B649C4" w:rsidRDefault="00EB51CC" w:rsidP="00FA1E8C"/>
        </w:tc>
        <w:tc>
          <w:tcPr>
            <w:tcW w:w="1160" w:type="pct"/>
          </w:tcPr>
          <w:p w14:paraId="484D4170" w14:textId="77777777" w:rsidR="00EB51CC" w:rsidRPr="000E2CBA" w:rsidRDefault="00000000" w:rsidP="00FA1E8C">
            <w:pPr>
              <w:rPr>
                <w:i/>
              </w:rPr>
            </w:pPr>
            <w:hyperlink w:anchor="facilities" w:tooltip="Any special facilities needs? Out-of-pattern scheduling? Other?" w:history="1">
              <w:r w:rsidR="00EB51CC" w:rsidRPr="00905E67">
                <w:rPr>
                  <w:rStyle w:val="Hyperlink"/>
                  <w:i/>
                </w:rPr>
                <w:t>Facilities</w:t>
              </w:r>
            </w:hyperlink>
            <w:r w:rsidR="00EB51CC">
              <w:t>:</w:t>
            </w:r>
          </w:p>
        </w:tc>
        <w:tc>
          <w:tcPr>
            <w:tcW w:w="0" w:type="auto"/>
            <w:gridSpan w:val="4"/>
          </w:tcPr>
          <w:p w14:paraId="56D43F00" w14:textId="197E86F1" w:rsidR="00EB51CC" w:rsidRPr="00C25F9D" w:rsidRDefault="002C5250" w:rsidP="00FA1E8C">
            <w:pPr>
              <w:rPr>
                <w:b/>
              </w:rPr>
            </w:pPr>
            <w:r>
              <w:rPr>
                <w:b/>
              </w:rPr>
              <w:t>none</w:t>
            </w:r>
          </w:p>
        </w:tc>
      </w:tr>
      <w:tr w:rsidR="00EB51CC" w:rsidRPr="006E3AF2" w14:paraId="51BCAB59" w14:textId="77777777" w:rsidTr="00FA1E8C">
        <w:trPr>
          <w:cantSplit/>
        </w:trPr>
        <w:tc>
          <w:tcPr>
            <w:tcW w:w="1111" w:type="pct"/>
            <w:vAlign w:val="center"/>
          </w:tcPr>
          <w:p w14:paraId="3A2D33A3" w14:textId="77777777" w:rsidR="00EB51CC" w:rsidRPr="00B649C4" w:rsidRDefault="00EB51CC" w:rsidP="00FA1E8C">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7322BFD1" w14:textId="223FBAEC" w:rsidR="00EB51CC" w:rsidRPr="00B605CE" w:rsidRDefault="002C5250" w:rsidP="00FA1E8C">
            <w:pPr>
              <w:rPr>
                <w:b/>
              </w:rPr>
            </w:pPr>
            <w:bookmarkStart w:id="9" w:name="date_submitted"/>
            <w:bookmarkEnd w:id="9"/>
            <w:r>
              <w:rPr>
                <w:b/>
              </w:rPr>
              <w:t>Fall 2023</w:t>
            </w:r>
          </w:p>
        </w:tc>
        <w:tc>
          <w:tcPr>
            <w:tcW w:w="1373" w:type="pct"/>
            <w:gridSpan w:val="2"/>
          </w:tcPr>
          <w:p w14:paraId="17259955" w14:textId="77777777" w:rsidR="00EB51CC" w:rsidRPr="00B605CE" w:rsidRDefault="00EB51CC" w:rsidP="00FA1E8C">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187814A5" w14:textId="77777777" w:rsidR="00EB51CC" w:rsidRPr="00B605CE" w:rsidRDefault="00EB51CC" w:rsidP="00FA1E8C">
            <w:pPr>
              <w:rPr>
                <w:b/>
              </w:rPr>
            </w:pPr>
            <w:bookmarkStart w:id="10" w:name="Semester_effective"/>
            <w:bookmarkEnd w:id="10"/>
          </w:p>
        </w:tc>
      </w:tr>
      <w:tr w:rsidR="002A144A" w:rsidRPr="006E3AF2" w14:paraId="638557BD" w14:textId="77777777" w:rsidTr="00FA1E8C">
        <w:trPr>
          <w:cantSplit/>
        </w:trPr>
        <w:tc>
          <w:tcPr>
            <w:tcW w:w="5000" w:type="pct"/>
            <w:gridSpan w:val="6"/>
            <w:vAlign w:val="center"/>
          </w:tcPr>
          <w:p w14:paraId="4E065205" w14:textId="0E594E7E" w:rsidR="002A144A" w:rsidRPr="00913143" w:rsidRDefault="002A144A" w:rsidP="00FA1E8C">
            <w:pPr>
              <w:rPr>
                <w:sz w:val="20"/>
                <w:szCs w:val="20"/>
              </w:rPr>
            </w:pPr>
          </w:p>
        </w:tc>
      </w:tr>
    </w:tbl>
    <w:p w14:paraId="0D83EA45" w14:textId="77777777" w:rsidR="00EB51CC" w:rsidRDefault="00EB51CC" w:rsidP="00EB51CC"/>
    <w:p w14:paraId="18BF0F2B" w14:textId="77777777" w:rsidR="00EB51CC" w:rsidRPr="00C344AB" w:rsidRDefault="00EB51CC" w:rsidP="00EB51CC">
      <w:pPr>
        <w:rPr>
          <w:b/>
          <w:sz w:val="20"/>
          <w:szCs w:val="20"/>
        </w:rPr>
      </w:pPr>
      <w:r>
        <w:br w:type="page"/>
      </w:r>
      <w: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FA6359">
          <w:rPr>
            <w:color w:val="0000FF"/>
            <w:u w:val="single"/>
          </w:rPr>
          <w:t>NEW OR REVISED COURSES</w:t>
        </w:r>
      </w:hyperlink>
      <w:r>
        <w:rPr>
          <w:color w:val="0000FF"/>
          <w:u w:val="single"/>
        </w:rPr>
        <w:t xml:space="preserve"> </w:t>
      </w:r>
      <w:r>
        <w:rPr>
          <w:b/>
          <w:caps/>
          <w:color w:val="632423"/>
          <w:spacing w:val="15"/>
          <w:sz w:val="20"/>
          <w:szCs w:val="20"/>
        </w:rPr>
        <w:t xml:space="preserve"> DO </w:t>
      </w:r>
      <w:r w:rsidRPr="002F36B8">
        <w:rPr>
          <w:b/>
          <w:caps/>
          <w:color w:val="632423"/>
          <w:spacing w:val="15"/>
          <w:sz w:val="20"/>
          <w:szCs w:val="20"/>
          <w:u w:val="single"/>
        </w:rPr>
        <w:t>NOT</w:t>
      </w:r>
      <w:r>
        <w:rPr>
          <w:b/>
          <w:caps/>
          <w:color w:val="632423"/>
          <w:spacing w:val="15"/>
          <w:sz w:val="20"/>
          <w:szCs w:val="20"/>
        </w:rPr>
        <w:t xml:space="preserve"> use highlight. Delete this whole page if the proposal does not include a new or revised course.</w:t>
      </w:r>
    </w:p>
    <w:tbl>
      <w:tblPr>
        <w:tblStyle w:val="TableGrid"/>
        <w:tblW w:w="489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099"/>
        <w:gridCol w:w="310"/>
        <w:gridCol w:w="3529"/>
        <w:gridCol w:w="3581"/>
        <w:gridCol w:w="24"/>
      </w:tblGrid>
      <w:tr w:rsidR="002C5250" w:rsidRPr="006E3AF2" w14:paraId="5AFFE144" w14:textId="77777777" w:rsidTr="009C382F">
        <w:trPr>
          <w:gridAfter w:val="1"/>
          <w:wAfter w:w="24" w:type="dxa"/>
          <w:tblHeader/>
        </w:trPr>
        <w:tc>
          <w:tcPr>
            <w:tcW w:w="3100" w:type="dxa"/>
            <w:shd w:val="clear" w:color="auto" w:fill="FABF8F"/>
            <w:noWrap/>
            <w:vAlign w:val="center"/>
          </w:tcPr>
          <w:p w14:paraId="74B59DA3" w14:textId="77777777" w:rsidR="002C5250" w:rsidRPr="00A83A6C" w:rsidRDefault="002C5250" w:rsidP="00FA1E8C">
            <w:pPr>
              <w:pStyle w:val="Heading5"/>
              <w:keepNext/>
              <w:spacing w:before="0" w:after="0" w:line="240" w:lineRule="auto"/>
            </w:pPr>
          </w:p>
        </w:tc>
        <w:tc>
          <w:tcPr>
            <w:tcW w:w="7419" w:type="dxa"/>
            <w:gridSpan w:val="3"/>
            <w:noWrap/>
          </w:tcPr>
          <w:p w14:paraId="7936EB2A" w14:textId="77777777" w:rsidR="002C5250" w:rsidRDefault="002C5250" w:rsidP="00FA1E8C">
            <w:pPr>
              <w:pStyle w:val="Heading5"/>
              <w:keepNext/>
              <w:spacing w:before="0" w:after="0" w:line="240" w:lineRule="auto"/>
              <w:jc w:val="center"/>
            </w:pPr>
            <w:r w:rsidRPr="00A83A6C">
              <w:t>New</w:t>
            </w:r>
          </w:p>
          <w:p w14:paraId="4AE8AB49" w14:textId="77777777" w:rsidR="002C5250" w:rsidRPr="006B20A9" w:rsidRDefault="002C5250" w:rsidP="00FA1E8C">
            <w:r>
              <w:t>Examples are provided for guidance, delete the ones that do not apply</w:t>
            </w:r>
          </w:p>
        </w:tc>
      </w:tr>
      <w:tr w:rsidR="002C5250" w:rsidRPr="006E3AF2" w14:paraId="0FCAFAF5" w14:textId="77777777" w:rsidTr="009C382F">
        <w:trPr>
          <w:gridAfter w:val="1"/>
          <w:wAfter w:w="24" w:type="dxa"/>
        </w:trPr>
        <w:tc>
          <w:tcPr>
            <w:tcW w:w="3100" w:type="dxa"/>
            <w:noWrap/>
            <w:vAlign w:val="center"/>
          </w:tcPr>
          <w:p w14:paraId="2571CE10" w14:textId="77777777" w:rsidR="002C5250" w:rsidRPr="006E3AF2" w:rsidRDefault="002C5250" w:rsidP="00FA1E8C">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7419" w:type="dxa"/>
            <w:gridSpan w:val="3"/>
            <w:noWrap/>
          </w:tcPr>
          <w:p w14:paraId="4E1ED47F" w14:textId="2F861F1E" w:rsidR="002C5250" w:rsidRPr="009F029C" w:rsidRDefault="002C5250" w:rsidP="00FA1E8C">
            <w:pPr>
              <w:spacing w:line="240" w:lineRule="auto"/>
              <w:rPr>
                <w:b/>
              </w:rPr>
            </w:pPr>
            <w:bookmarkStart w:id="11" w:name="cours_title"/>
            <w:bookmarkEnd w:id="11"/>
            <w:r>
              <w:rPr>
                <w:b/>
              </w:rPr>
              <w:t>POL 269</w:t>
            </w:r>
          </w:p>
        </w:tc>
      </w:tr>
      <w:tr w:rsidR="002C5250" w:rsidRPr="006E3AF2" w14:paraId="369BF0F3" w14:textId="77777777" w:rsidTr="009C382F">
        <w:trPr>
          <w:gridAfter w:val="1"/>
          <w:wAfter w:w="24" w:type="dxa"/>
        </w:trPr>
        <w:tc>
          <w:tcPr>
            <w:tcW w:w="3100" w:type="dxa"/>
            <w:noWrap/>
            <w:vAlign w:val="center"/>
          </w:tcPr>
          <w:p w14:paraId="65220D24" w14:textId="77777777" w:rsidR="002C5250" w:rsidRPr="006E3AF2" w:rsidRDefault="002C5250" w:rsidP="00FA1E8C">
            <w:pPr>
              <w:spacing w:line="240" w:lineRule="auto"/>
            </w:pPr>
            <w:r>
              <w:t xml:space="preserve">B.3. </w:t>
            </w:r>
            <w:hyperlink w:anchor="title" w:tooltip="Limit to 6 words. Bulletin only includes the first three, so bear that in mind when composing the title." w:history="1">
              <w:r w:rsidRPr="00A87611">
                <w:rPr>
                  <w:rStyle w:val="Hyperlink"/>
                </w:rPr>
                <w:t>Course title</w:t>
              </w:r>
            </w:hyperlink>
            <w:r w:rsidRPr="006E3AF2">
              <w:t xml:space="preserve"> </w:t>
            </w:r>
          </w:p>
        </w:tc>
        <w:tc>
          <w:tcPr>
            <w:tcW w:w="7419" w:type="dxa"/>
            <w:gridSpan w:val="3"/>
            <w:noWrap/>
          </w:tcPr>
          <w:p w14:paraId="69532AC0" w14:textId="340D26DD" w:rsidR="002C5250" w:rsidRPr="009F029C" w:rsidRDefault="002C5250" w:rsidP="00FA1E8C">
            <w:pPr>
              <w:spacing w:line="240" w:lineRule="auto"/>
              <w:rPr>
                <w:b/>
              </w:rPr>
            </w:pPr>
            <w:bookmarkStart w:id="12" w:name="title"/>
            <w:bookmarkEnd w:id="12"/>
            <w:r>
              <w:rPr>
                <w:b/>
              </w:rPr>
              <w:t>International LGBTIQ+ Rights</w:t>
            </w:r>
          </w:p>
        </w:tc>
      </w:tr>
      <w:tr w:rsidR="002C5250" w:rsidRPr="006E3AF2" w14:paraId="6287B29E" w14:textId="77777777" w:rsidTr="009C382F">
        <w:trPr>
          <w:gridAfter w:val="1"/>
          <w:wAfter w:w="24" w:type="dxa"/>
        </w:trPr>
        <w:tc>
          <w:tcPr>
            <w:tcW w:w="3100" w:type="dxa"/>
            <w:noWrap/>
            <w:vAlign w:val="center"/>
          </w:tcPr>
          <w:p w14:paraId="17777505" w14:textId="77777777" w:rsidR="002C5250" w:rsidRPr="006E3AF2" w:rsidRDefault="002C5250" w:rsidP="00FA1E8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7419" w:type="dxa"/>
            <w:gridSpan w:val="3"/>
            <w:noWrap/>
          </w:tcPr>
          <w:p w14:paraId="63D0EFA5" w14:textId="77777777" w:rsidR="002A144A" w:rsidRPr="009C382F" w:rsidRDefault="002A144A" w:rsidP="002A144A">
            <w:pPr>
              <w:pStyle w:val="sc-CourseTitle"/>
              <w:rPr>
                <w:rFonts w:asciiTheme="minorHAnsi" w:hAnsiTheme="minorHAnsi" w:cstheme="majorHAnsi"/>
                <w:sz w:val="22"/>
                <w:szCs w:val="22"/>
              </w:rPr>
            </w:pPr>
            <w:bookmarkStart w:id="13" w:name="description"/>
            <w:bookmarkEnd w:id="13"/>
            <w:r w:rsidRPr="009C382F">
              <w:rPr>
                <w:rFonts w:asciiTheme="minorHAnsi" w:hAnsiTheme="minorHAnsi" w:cstheme="majorHAnsi"/>
                <w:sz w:val="22"/>
                <w:szCs w:val="22"/>
              </w:rPr>
              <w:t xml:space="preserve">Students will explore the rights of lesbian, gay, bisexual, transgender, intersex and queer individuals and their communities from an international and comparative perspective. </w:t>
            </w:r>
          </w:p>
          <w:p w14:paraId="5707D51E" w14:textId="4E951C3E" w:rsidR="002C5250" w:rsidRPr="009C382F" w:rsidRDefault="002C5250" w:rsidP="002C5250">
            <w:pPr>
              <w:spacing w:line="240" w:lineRule="auto"/>
              <w:ind w:right="720"/>
              <w:rPr>
                <w:rFonts w:asciiTheme="minorHAnsi" w:hAnsiTheme="minorHAnsi"/>
                <w:b/>
                <w:bCs/>
              </w:rPr>
            </w:pPr>
          </w:p>
        </w:tc>
      </w:tr>
      <w:tr w:rsidR="002C5250" w:rsidRPr="006E3AF2" w14:paraId="054E10F3" w14:textId="77777777" w:rsidTr="009C382F">
        <w:trPr>
          <w:gridAfter w:val="1"/>
          <w:wAfter w:w="24" w:type="dxa"/>
        </w:trPr>
        <w:tc>
          <w:tcPr>
            <w:tcW w:w="3100" w:type="dxa"/>
            <w:noWrap/>
            <w:vAlign w:val="center"/>
          </w:tcPr>
          <w:p w14:paraId="0ADC459F" w14:textId="77777777" w:rsidR="002C5250" w:rsidRPr="006E3AF2" w:rsidRDefault="002C5250" w:rsidP="00FA1E8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7419" w:type="dxa"/>
            <w:gridSpan w:val="3"/>
            <w:noWrap/>
          </w:tcPr>
          <w:p w14:paraId="0564C108" w14:textId="63664C71" w:rsidR="002C5250" w:rsidRPr="009C382F" w:rsidRDefault="002C5250" w:rsidP="00FA1E8C">
            <w:pPr>
              <w:spacing w:line="240" w:lineRule="auto"/>
              <w:rPr>
                <w:rFonts w:asciiTheme="minorHAnsi" w:hAnsiTheme="minorHAnsi"/>
                <w:b/>
                <w:bCs/>
              </w:rPr>
            </w:pPr>
            <w:bookmarkStart w:id="14" w:name="prereqs"/>
            <w:bookmarkEnd w:id="14"/>
            <w:r w:rsidRPr="009C382F">
              <w:rPr>
                <w:rFonts w:asciiTheme="minorHAnsi" w:hAnsiTheme="minorHAnsi"/>
                <w:b/>
                <w:bCs/>
              </w:rPr>
              <w:t>Completion of FYS, FYW and at least 45 credits</w:t>
            </w:r>
          </w:p>
        </w:tc>
      </w:tr>
      <w:tr w:rsidR="002C5250" w:rsidRPr="006E3AF2" w14:paraId="4D211A5A" w14:textId="77777777" w:rsidTr="009C382F">
        <w:trPr>
          <w:gridAfter w:val="1"/>
          <w:wAfter w:w="24" w:type="dxa"/>
        </w:trPr>
        <w:tc>
          <w:tcPr>
            <w:tcW w:w="3100" w:type="dxa"/>
            <w:noWrap/>
            <w:vAlign w:val="center"/>
          </w:tcPr>
          <w:p w14:paraId="1EECE0DE" w14:textId="77777777" w:rsidR="002C5250" w:rsidRPr="006E3AF2" w:rsidRDefault="002C5250" w:rsidP="00FA1E8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7419" w:type="dxa"/>
            <w:gridSpan w:val="3"/>
            <w:noWrap/>
          </w:tcPr>
          <w:p w14:paraId="70B0E3D3" w14:textId="7909EF90" w:rsidR="002C5250" w:rsidRPr="009F029C" w:rsidRDefault="002C5250" w:rsidP="002C5250">
            <w:pPr>
              <w:spacing w:line="240" w:lineRule="auto"/>
              <w:rPr>
                <w:b/>
                <w:sz w:val="20"/>
              </w:rPr>
            </w:pPr>
            <w:r w:rsidRPr="009F029C">
              <w:rPr>
                <w:b/>
                <w:sz w:val="20"/>
              </w:rPr>
              <w:t xml:space="preserve">Fall </w:t>
            </w:r>
            <w:r w:rsidR="00865485">
              <w:rPr>
                <w:b/>
                <w:sz w:val="20"/>
              </w:rPr>
              <w:t xml:space="preserve"> (</w:t>
            </w:r>
            <w:r w:rsidR="006E2CC2">
              <w:rPr>
                <w:b/>
                <w:sz w:val="20"/>
              </w:rPr>
              <w:t>odd</w:t>
            </w:r>
            <w:r w:rsidRPr="009F029C">
              <w:rPr>
                <w:b/>
                <w:sz w:val="20"/>
              </w:rPr>
              <w:t xml:space="preserve"> </w:t>
            </w:r>
            <w:r w:rsidR="00865485">
              <w:rPr>
                <w:b/>
                <w:sz w:val="20"/>
              </w:rPr>
              <w:t>y</w:t>
            </w:r>
            <w:r w:rsidRPr="009F029C">
              <w:rPr>
                <w:b/>
                <w:sz w:val="20"/>
              </w:rPr>
              <w:t>ears</w:t>
            </w:r>
            <w:r w:rsidR="00865485">
              <w:rPr>
                <w:b/>
                <w:sz w:val="20"/>
              </w:rPr>
              <w:t>)</w:t>
            </w:r>
            <w:r w:rsidRPr="009F029C">
              <w:rPr>
                <w:b/>
                <w:sz w:val="20"/>
              </w:rPr>
              <w:t xml:space="preserve">  </w:t>
            </w:r>
          </w:p>
        </w:tc>
      </w:tr>
      <w:tr w:rsidR="002C5250" w:rsidRPr="006E3AF2" w14:paraId="2A010DD6" w14:textId="77777777" w:rsidTr="009C382F">
        <w:trPr>
          <w:gridAfter w:val="1"/>
          <w:wAfter w:w="24" w:type="dxa"/>
        </w:trPr>
        <w:tc>
          <w:tcPr>
            <w:tcW w:w="3100" w:type="dxa"/>
            <w:noWrap/>
            <w:vAlign w:val="center"/>
          </w:tcPr>
          <w:p w14:paraId="09FCBC8D" w14:textId="77777777" w:rsidR="002C5250" w:rsidRPr="006E3AF2" w:rsidRDefault="002C5250" w:rsidP="00FA1E8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7419" w:type="dxa"/>
            <w:gridSpan w:val="3"/>
            <w:noWrap/>
          </w:tcPr>
          <w:p w14:paraId="2C8FF6F0" w14:textId="4ADF7F0B" w:rsidR="002C5250" w:rsidRPr="009F029C" w:rsidRDefault="002C5250" w:rsidP="00FA1E8C">
            <w:pPr>
              <w:spacing w:line="240" w:lineRule="auto"/>
              <w:rPr>
                <w:b/>
              </w:rPr>
            </w:pPr>
            <w:bookmarkStart w:id="15" w:name="contacthours"/>
            <w:bookmarkEnd w:id="15"/>
            <w:r>
              <w:rPr>
                <w:b/>
              </w:rPr>
              <w:t>4</w:t>
            </w:r>
          </w:p>
        </w:tc>
      </w:tr>
      <w:tr w:rsidR="002C5250" w:rsidRPr="006E3AF2" w14:paraId="7942D3F2" w14:textId="77777777" w:rsidTr="009C382F">
        <w:trPr>
          <w:gridAfter w:val="1"/>
          <w:wAfter w:w="24" w:type="dxa"/>
        </w:trPr>
        <w:tc>
          <w:tcPr>
            <w:tcW w:w="3100" w:type="dxa"/>
            <w:noWrap/>
            <w:vAlign w:val="center"/>
          </w:tcPr>
          <w:p w14:paraId="057C8A83" w14:textId="77777777" w:rsidR="002C5250" w:rsidRPr="006E3AF2" w:rsidRDefault="002C5250" w:rsidP="00FA1E8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7419" w:type="dxa"/>
            <w:gridSpan w:val="3"/>
            <w:noWrap/>
          </w:tcPr>
          <w:p w14:paraId="76A6D4E9" w14:textId="7BA15DDB" w:rsidR="002C5250" w:rsidRPr="009F029C" w:rsidRDefault="002C5250" w:rsidP="00FA1E8C">
            <w:pPr>
              <w:spacing w:line="240" w:lineRule="auto"/>
              <w:rPr>
                <w:b/>
              </w:rPr>
            </w:pPr>
            <w:bookmarkStart w:id="16" w:name="credits"/>
            <w:bookmarkEnd w:id="16"/>
            <w:r>
              <w:rPr>
                <w:b/>
              </w:rPr>
              <w:t>4</w:t>
            </w:r>
          </w:p>
        </w:tc>
      </w:tr>
      <w:tr w:rsidR="002C5250" w:rsidRPr="006E3AF2" w14:paraId="270D7FB9" w14:textId="77777777" w:rsidTr="009C382F">
        <w:trPr>
          <w:gridAfter w:val="1"/>
          <w:wAfter w:w="24" w:type="dxa"/>
        </w:trPr>
        <w:tc>
          <w:tcPr>
            <w:tcW w:w="3100" w:type="dxa"/>
            <w:noWrap/>
            <w:vAlign w:val="center"/>
          </w:tcPr>
          <w:p w14:paraId="506B0147" w14:textId="77777777" w:rsidR="002C5250" w:rsidRPr="006E3AF2" w:rsidRDefault="002C5250" w:rsidP="00FA1E8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7419" w:type="dxa"/>
            <w:gridSpan w:val="3"/>
            <w:noWrap/>
          </w:tcPr>
          <w:p w14:paraId="54B10B5B" w14:textId="789A8E2B" w:rsidR="002C5250" w:rsidRPr="009F029C" w:rsidRDefault="002C5250" w:rsidP="00FA1E8C">
            <w:pPr>
              <w:spacing w:line="240" w:lineRule="auto"/>
              <w:rPr>
                <w:b/>
                <w:sz w:val="20"/>
              </w:rPr>
            </w:pPr>
            <w:r w:rsidRPr="009F029C">
              <w:rPr>
                <w:b/>
                <w:sz w:val="20"/>
              </w:rPr>
              <w:t xml:space="preserve">Letter grade  </w:t>
            </w:r>
          </w:p>
        </w:tc>
      </w:tr>
      <w:tr w:rsidR="002C5250" w:rsidRPr="006E3AF2" w14:paraId="40FAE74A" w14:textId="77777777" w:rsidTr="009C382F">
        <w:trPr>
          <w:gridAfter w:val="1"/>
          <w:wAfter w:w="24" w:type="dxa"/>
        </w:trPr>
        <w:tc>
          <w:tcPr>
            <w:tcW w:w="3100" w:type="dxa"/>
            <w:noWrap/>
            <w:vAlign w:val="center"/>
          </w:tcPr>
          <w:p w14:paraId="4BE991A1" w14:textId="77777777" w:rsidR="002C5250" w:rsidRPr="006E3AF2" w:rsidRDefault="002C5250" w:rsidP="00FA1E8C">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7419" w:type="dxa"/>
            <w:gridSpan w:val="3"/>
            <w:noWrap/>
          </w:tcPr>
          <w:p w14:paraId="3102516F" w14:textId="6220C9E8" w:rsidR="002C5250" w:rsidRPr="009F029C" w:rsidRDefault="002C5250" w:rsidP="00FA1E8C">
            <w:pPr>
              <w:spacing w:line="240" w:lineRule="auto"/>
              <w:rPr>
                <w:b/>
                <w:sz w:val="20"/>
              </w:rPr>
            </w:pPr>
            <w:bookmarkStart w:id="17" w:name="instr_methods"/>
            <w:bookmarkEnd w:id="17"/>
            <w:proofErr w:type="gramStart"/>
            <w:r w:rsidRPr="009F029C">
              <w:rPr>
                <w:b/>
                <w:sz w:val="20"/>
              </w:rPr>
              <w:t xml:space="preserve">Lecture </w:t>
            </w:r>
            <w:r>
              <w:rPr>
                <w:b/>
                <w:sz w:val="20"/>
              </w:rPr>
              <w:t>,</w:t>
            </w:r>
            <w:proofErr w:type="gramEnd"/>
            <w:r>
              <w:rPr>
                <w:b/>
                <w:sz w:val="20"/>
              </w:rPr>
              <w:t xml:space="preserve"> </w:t>
            </w:r>
            <w:r w:rsidRPr="009F029C">
              <w:rPr>
                <w:b/>
                <w:sz w:val="20"/>
              </w:rPr>
              <w:t>Small group</w:t>
            </w:r>
            <w:r>
              <w:rPr>
                <w:b/>
                <w:sz w:val="20"/>
              </w:rPr>
              <w:t xml:space="preserve"> </w:t>
            </w:r>
          </w:p>
        </w:tc>
      </w:tr>
      <w:tr w:rsidR="009C382F" w:rsidRPr="006E3AF2" w14:paraId="15CE7EBF" w14:textId="77777777" w:rsidTr="009C382F">
        <w:trPr>
          <w:gridAfter w:val="1"/>
          <w:wAfter w:w="23" w:type="dxa"/>
        </w:trPr>
        <w:tc>
          <w:tcPr>
            <w:tcW w:w="3100" w:type="dxa"/>
            <w:noWrap/>
            <w:vAlign w:val="center"/>
          </w:tcPr>
          <w:p w14:paraId="247361B7" w14:textId="77777777" w:rsidR="009C382F" w:rsidRDefault="009C382F" w:rsidP="001D7DDF">
            <w:pPr>
              <w:spacing w:line="240" w:lineRule="auto"/>
            </w:pPr>
            <w:r>
              <w:t>B.12.  CATEGORIES</w:t>
            </w:r>
          </w:p>
          <w:p w14:paraId="79787887" w14:textId="77777777" w:rsidR="009C382F" w:rsidRPr="006E3AF2" w:rsidRDefault="009C382F" w:rsidP="001D7DDF">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39" w:type="dxa"/>
            <w:gridSpan w:val="2"/>
            <w:noWrap/>
          </w:tcPr>
          <w:p w14:paraId="1DB4C516" w14:textId="1AFD9987" w:rsidR="009C382F" w:rsidRPr="009F029C" w:rsidRDefault="009C382F" w:rsidP="001D7DDF">
            <w:pPr>
              <w:spacing w:line="240" w:lineRule="auto"/>
              <w:rPr>
                <w:b/>
                <w:sz w:val="20"/>
              </w:rPr>
            </w:pPr>
          </w:p>
        </w:tc>
        <w:tc>
          <w:tcPr>
            <w:tcW w:w="3581" w:type="dxa"/>
            <w:noWrap/>
          </w:tcPr>
          <w:p w14:paraId="3AF9A227" w14:textId="6D6BC0BE" w:rsidR="009C382F" w:rsidRPr="009F029C" w:rsidRDefault="009C382F" w:rsidP="001D7DDF">
            <w:pPr>
              <w:spacing w:line="240" w:lineRule="auto"/>
              <w:rPr>
                <w:b/>
                <w:sz w:val="20"/>
              </w:rPr>
            </w:pPr>
            <w:r w:rsidRPr="009F029C">
              <w:rPr>
                <w:rFonts w:ascii="MS Mincho" w:eastAsia="MS Mincho" w:hAnsi="MS Mincho" w:cs="MS Mincho"/>
                <w:b/>
                <w:sz w:val="20"/>
              </w:rPr>
              <w:t xml:space="preserve">| </w:t>
            </w:r>
            <w:r w:rsidRPr="009F029C">
              <w:rPr>
                <w:b/>
                <w:sz w:val="20"/>
              </w:rPr>
              <w:t xml:space="preserve">Free elective </w:t>
            </w:r>
            <w:r w:rsidRPr="009F029C">
              <w:rPr>
                <w:rFonts w:ascii="MS Mincho" w:eastAsia="MS Mincho" w:hAnsi="MS Mincho" w:cs="MS Mincho"/>
                <w:b/>
                <w:sz w:val="20"/>
              </w:rPr>
              <w:t>|</w:t>
            </w:r>
            <w:r w:rsidRPr="009F029C">
              <w:rPr>
                <w:b/>
                <w:sz w:val="20"/>
              </w:rPr>
              <w:t xml:space="preserve"> </w:t>
            </w:r>
          </w:p>
        </w:tc>
      </w:tr>
      <w:tr w:rsidR="009C382F" w:rsidRPr="006E3AF2" w14:paraId="590CC86A" w14:textId="77777777" w:rsidTr="009C382F">
        <w:trPr>
          <w:gridAfter w:val="1"/>
          <w:wAfter w:w="23" w:type="dxa"/>
        </w:trPr>
        <w:tc>
          <w:tcPr>
            <w:tcW w:w="3100" w:type="dxa"/>
            <w:noWrap/>
            <w:vAlign w:val="center"/>
          </w:tcPr>
          <w:p w14:paraId="2DE1314A" w14:textId="77777777" w:rsidR="009C382F" w:rsidRDefault="009C382F" w:rsidP="001D7DDF">
            <w:pPr>
              <w:spacing w:line="240" w:lineRule="auto"/>
            </w:pPr>
            <w:r>
              <w:t xml:space="preserve">       12 b. </w:t>
            </w:r>
            <w:r w:rsidRPr="006E3AF2">
              <w:t xml:space="preserve">Is this an Honors </w:t>
            </w:r>
            <w:r>
              <w:t xml:space="preserve"> </w:t>
            </w:r>
          </w:p>
          <w:p w14:paraId="332CBDCC" w14:textId="77777777" w:rsidR="009C382F" w:rsidRPr="006E3AF2" w:rsidRDefault="009C382F" w:rsidP="001D7DDF">
            <w:pPr>
              <w:spacing w:line="240" w:lineRule="auto"/>
            </w:pPr>
            <w:r>
              <w:t xml:space="preserve">        </w:t>
            </w:r>
            <w:r w:rsidRPr="006E3AF2">
              <w:t>course?</w:t>
            </w:r>
          </w:p>
        </w:tc>
        <w:tc>
          <w:tcPr>
            <w:tcW w:w="3839" w:type="dxa"/>
            <w:gridSpan w:val="2"/>
            <w:noWrap/>
          </w:tcPr>
          <w:p w14:paraId="567A13C0" w14:textId="54A79826" w:rsidR="009C382F" w:rsidRPr="009F029C" w:rsidRDefault="009C382F" w:rsidP="001D7DDF">
            <w:pPr>
              <w:spacing w:line="240" w:lineRule="auto"/>
              <w:rPr>
                <w:b/>
              </w:rPr>
            </w:pPr>
          </w:p>
        </w:tc>
        <w:tc>
          <w:tcPr>
            <w:tcW w:w="3581" w:type="dxa"/>
            <w:noWrap/>
          </w:tcPr>
          <w:p w14:paraId="24548205" w14:textId="59CE267E" w:rsidR="009C382F" w:rsidRPr="009F029C" w:rsidRDefault="009C382F" w:rsidP="001D7DDF">
            <w:pPr>
              <w:spacing w:line="240" w:lineRule="auto"/>
              <w:rPr>
                <w:b/>
              </w:rPr>
            </w:pPr>
            <w:r w:rsidRPr="009F029C">
              <w:rPr>
                <w:rFonts w:ascii="MS Mincho" w:eastAsia="MS Mincho" w:hAnsi="MS Mincho" w:cs="MS Mincho"/>
                <w:b/>
                <w:sz w:val="20"/>
              </w:rPr>
              <w:t>|</w:t>
            </w:r>
            <w:r>
              <w:rPr>
                <w:rFonts w:ascii="MS Mincho" w:eastAsia="MS Mincho" w:hAnsi="MS Mincho" w:cs="MS Mincho"/>
                <w:b/>
                <w:sz w:val="20"/>
              </w:rPr>
              <w:t xml:space="preserve"> </w:t>
            </w:r>
            <w:r>
              <w:rPr>
                <w:b/>
              </w:rPr>
              <w:t>NO</w:t>
            </w:r>
          </w:p>
        </w:tc>
      </w:tr>
      <w:tr w:rsidR="009C382F" w:rsidRPr="006E3AF2" w14:paraId="091C8CC5" w14:textId="77777777" w:rsidTr="009C382F">
        <w:trPr>
          <w:gridAfter w:val="1"/>
          <w:wAfter w:w="23" w:type="dxa"/>
        </w:trPr>
        <w:tc>
          <w:tcPr>
            <w:tcW w:w="3100" w:type="dxa"/>
            <w:noWrap/>
            <w:vAlign w:val="center"/>
          </w:tcPr>
          <w:p w14:paraId="5A71791A" w14:textId="77777777" w:rsidR="009C382F" w:rsidRDefault="009C382F" w:rsidP="001D7DD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4E3FB82E" w14:textId="77777777" w:rsidR="009C382F" w:rsidRDefault="009C382F" w:rsidP="001D7DD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7D899F77" w14:textId="77777777" w:rsidR="009C382F" w:rsidRDefault="009C382F" w:rsidP="001D7DDF">
            <w:pPr>
              <w:spacing w:line="240" w:lineRule="auto"/>
              <w:rPr>
                <w:w w:val="90"/>
                <w:sz w:val="18"/>
                <w:szCs w:val="18"/>
              </w:rPr>
            </w:pPr>
            <w:r>
              <w:rPr>
                <w:w w:val="90"/>
                <w:sz w:val="18"/>
                <w:szCs w:val="18"/>
              </w:rPr>
              <w:t xml:space="preserve">          </w:t>
            </w:r>
            <w:r w:rsidRPr="00D96C1E">
              <w:rPr>
                <w:w w:val="90"/>
                <w:sz w:val="18"/>
                <w:szCs w:val="18"/>
              </w:rPr>
              <w:t>least 50% Standard Classroom</w:t>
            </w:r>
          </w:p>
          <w:p w14:paraId="23B78182" w14:textId="77777777" w:rsidR="009C382F" w:rsidRPr="00D96C1E" w:rsidRDefault="009C382F" w:rsidP="001D7DDF">
            <w:pPr>
              <w:spacing w:line="240" w:lineRule="auto"/>
              <w:rPr>
                <w:w w:val="90"/>
                <w:sz w:val="18"/>
                <w:szCs w:val="18"/>
              </w:rPr>
            </w:pPr>
            <w:r>
              <w:rPr>
                <w:w w:val="90"/>
                <w:sz w:val="18"/>
                <w:szCs w:val="18"/>
              </w:rPr>
              <w:t xml:space="preserve">          </w:t>
            </w:r>
            <w:r w:rsidRPr="00D96C1E">
              <w:rPr>
                <w:w w:val="90"/>
                <w:sz w:val="18"/>
                <w:szCs w:val="18"/>
              </w:rPr>
              <w:t>instruction.</w:t>
            </w:r>
          </w:p>
        </w:tc>
        <w:tc>
          <w:tcPr>
            <w:tcW w:w="3839" w:type="dxa"/>
            <w:gridSpan w:val="2"/>
            <w:noWrap/>
          </w:tcPr>
          <w:p w14:paraId="022E7C5C" w14:textId="3C84C49E" w:rsidR="009C382F" w:rsidRPr="009F029C" w:rsidRDefault="009C382F" w:rsidP="001D7DDF">
            <w:pPr>
              <w:rPr>
                <w:b/>
                <w:sz w:val="20"/>
              </w:rPr>
            </w:pPr>
          </w:p>
        </w:tc>
        <w:tc>
          <w:tcPr>
            <w:tcW w:w="3581" w:type="dxa"/>
            <w:noWrap/>
          </w:tcPr>
          <w:p w14:paraId="4C65799D" w14:textId="657D0875" w:rsidR="009C382F" w:rsidRDefault="009C382F" w:rsidP="001D7DDF">
            <w:pPr>
              <w:spacing w:line="240" w:lineRule="auto"/>
              <w:rPr>
                <w:rFonts w:ascii="MS Mincho" w:eastAsia="MS Mincho" w:hAnsi="MS Mincho" w:cs="MS Mincho"/>
                <w:b/>
                <w:sz w:val="20"/>
              </w:rPr>
            </w:pPr>
            <w:r>
              <w:rPr>
                <w:b/>
              </w:rPr>
              <w:t xml:space="preserve">YES </w:t>
            </w:r>
            <w:r w:rsidRPr="009F029C">
              <w:rPr>
                <w:rFonts w:ascii="MS Mincho" w:eastAsia="MS Mincho" w:hAnsi="MS Mincho" w:cs="MS Mincho"/>
                <w:b/>
                <w:sz w:val="20"/>
              </w:rPr>
              <w:t xml:space="preserve">| </w:t>
            </w:r>
          </w:p>
          <w:p w14:paraId="6BF74B9C" w14:textId="01ED1E0E" w:rsidR="009C382F" w:rsidRPr="009F029C" w:rsidRDefault="009C382F" w:rsidP="001D7DDF">
            <w:pPr>
              <w:spacing w:line="240" w:lineRule="auto"/>
              <w:rPr>
                <w:b/>
                <w:sz w:val="20"/>
              </w:rPr>
            </w:pPr>
            <w:r>
              <w:rPr>
                <w:b/>
              </w:rPr>
              <w:t>category: Connections</w:t>
            </w:r>
          </w:p>
        </w:tc>
      </w:tr>
      <w:tr w:rsidR="009C382F" w:rsidRPr="006E3AF2" w14:paraId="3EAAB21C" w14:textId="77777777" w:rsidTr="009C382F">
        <w:trPr>
          <w:gridAfter w:val="1"/>
          <w:wAfter w:w="23" w:type="dxa"/>
        </w:trPr>
        <w:tc>
          <w:tcPr>
            <w:tcW w:w="3100" w:type="dxa"/>
            <w:noWrap/>
            <w:vAlign w:val="center"/>
          </w:tcPr>
          <w:p w14:paraId="27512707" w14:textId="77777777" w:rsidR="009C382F" w:rsidRDefault="009C382F" w:rsidP="001D7DDF">
            <w:pPr>
              <w:spacing w:line="240" w:lineRule="auto"/>
            </w:pPr>
            <w:r>
              <w:t xml:space="preserve">       12. d.  Writing in the </w:t>
            </w:r>
          </w:p>
          <w:p w14:paraId="6F52F9A1" w14:textId="77777777" w:rsidR="009C382F" w:rsidRDefault="009C382F" w:rsidP="001D7DDF">
            <w:pPr>
              <w:spacing w:line="240" w:lineRule="auto"/>
            </w:pPr>
            <w:r>
              <w:t xml:space="preserve">       Discipline (WID)</w:t>
            </w:r>
          </w:p>
        </w:tc>
        <w:tc>
          <w:tcPr>
            <w:tcW w:w="3839" w:type="dxa"/>
            <w:gridSpan w:val="2"/>
            <w:noWrap/>
          </w:tcPr>
          <w:p w14:paraId="5D3F7745" w14:textId="4C77C0EE" w:rsidR="009C382F" w:rsidRDefault="009C382F" w:rsidP="001D7DDF">
            <w:pPr>
              <w:rPr>
                <w:b/>
              </w:rPr>
            </w:pPr>
          </w:p>
        </w:tc>
        <w:tc>
          <w:tcPr>
            <w:tcW w:w="3581" w:type="dxa"/>
            <w:noWrap/>
          </w:tcPr>
          <w:p w14:paraId="66CF6D8D" w14:textId="29315B01" w:rsidR="009C382F" w:rsidRDefault="009C382F" w:rsidP="001D7DDF">
            <w:pPr>
              <w:spacing w:line="240" w:lineRule="auto"/>
              <w:rPr>
                <w:b/>
              </w:rPr>
            </w:pPr>
            <w:r w:rsidRPr="009F029C">
              <w:rPr>
                <w:rFonts w:ascii="MS Mincho" w:eastAsia="MS Mincho" w:hAnsi="MS Mincho" w:cs="MS Mincho"/>
                <w:b/>
                <w:sz w:val="20"/>
              </w:rPr>
              <w:t>|</w:t>
            </w:r>
            <w:r>
              <w:rPr>
                <w:b/>
              </w:rPr>
              <w:t xml:space="preserve"> NO</w:t>
            </w:r>
          </w:p>
        </w:tc>
      </w:tr>
      <w:tr w:rsidR="002C5250" w:rsidRPr="006E3AF2" w14:paraId="3FC33F26" w14:textId="77777777" w:rsidTr="009C382F">
        <w:trPr>
          <w:gridAfter w:val="1"/>
          <w:wAfter w:w="24" w:type="dxa"/>
        </w:trPr>
        <w:tc>
          <w:tcPr>
            <w:tcW w:w="3100" w:type="dxa"/>
            <w:noWrap/>
            <w:vAlign w:val="center"/>
          </w:tcPr>
          <w:p w14:paraId="709929B7" w14:textId="15A7354B" w:rsidR="002C5250" w:rsidRPr="006E3AF2" w:rsidRDefault="002C5250" w:rsidP="00FA1E8C">
            <w:pPr>
              <w:spacing w:line="240" w:lineRule="auto"/>
            </w:pPr>
            <w:r>
              <w:t>B.1</w:t>
            </w:r>
            <w:r w:rsidR="009C382F">
              <w:t>3</w:t>
            </w:r>
            <w:r>
              <w:t xml:space="preserve">.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7419" w:type="dxa"/>
            <w:gridSpan w:val="3"/>
            <w:noWrap/>
          </w:tcPr>
          <w:p w14:paraId="76694684" w14:textId="65598ECD" w:rsidR="002C5250" w:rsidRPr="002C5250" w:rsidRDefault="002C5250" w:rsidP="00FA1E8C">
            <w:pPr>
              <w:spacing w:line="240" w:lineRule="auto"/>
              <w:rPr>
                <w:rFonts w:ascii="MS Mincho" w:eastAsia="MS Mincho" w:hAnsi="MS Mincho" w:cs="MS Mincho"/>
                <w:b/>
                <w:sz w:val="20"/>
              </w:rPr>
            </w:pPr>
            <w:bookmarkStart w:id="18" w:name="performance"/>
            <w:bookmarkEnd w:id="18"/>
            <w:proofErr w:type="gramStart"/>
            <w:r w:rsidRPr="009F029C">
              <w:rPr>
                <w:b/>
                <w:sz w:val="20"/>
              </w:rPr>
              <w:t xml:space="preserve">Attendance  </w:t>
            </w:r>
            <w:r w:rsidRPr="009F029C">
              <w:rPr>
                <w:rFonts w:ascii="MS Mincho" w:eastAsia="MS Mincho" w:hAnsi="MS Mincho" w:cs="MS Mincho"/>
                <w:b/>
                <w:sz w:val="20"/>
              </w:rPr>
              <w:t>|</w:t>
            </w:r>
            <w:proofErr w:type="gramEnd"/>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Presentations  </w:t>
            </w:r>
            <w:r w:rsidRPr="009F029C">
              <w:rPr>
                <w:rFonts w:ascii="MS Mincho" w:eastAsia="MS Mincho" w:hAnsi="MS Mincho" w:cs="MS Mincho"/>
                <w:b/>
                <w:sz w:val="20"/>
              </w:rPr>
              <w:t xml:space="preserve">| </w:t>
            </w:r>
            <w:r w:rsidRPr="009F029C">
              <w:rPr>
                <w:b/>
                <w:sz w:val="20"/>
              </w:rPr>
              <w:t xml:space="preserve">Papers  </w:t>
            </w:r>
            <w:r w:rsidRPr="009F029C">
              <w:rPr>
                <w:rFonts w:ascii="MS Mincho" w:eastAsia="MS Mincho" w:hAnsi="MS Mincho" w:cs="MS Mincho"/>
                <w:b/>
                <w:sz w:val="20"/>
              </w:rPr>
              <w:t xml:space="preserve">| </w:t>
            </w:r>
            <w:r w:rsidRPr="009F029C">
              <w:rPr>
                <w:b/>
                <w:sz w:val="20"/>
              </w:rPr>
              <w:t xml:space="preserve">Class Work </w:t>
            </w:r>
            <w:r w:rsidRPr="009F029C">
              <w:rPr>
                <w:rFonts w:ascii="MS Mincho" w:eastAsia="MS Mincho" w:hAnsi="MS Mincho" w:cs="MS Mincho"/>
                <w:b/>
                <w:sz w:val="20"/>
              </w:rPr>
              <w:t xml:space="preserve">| </w:t>
            </w:r>
            <w:r w:rsidRPr="009F029C">
              <w:rPr>
                <w:b/>
                <w:sz w:val="20"/>
              </w:rPr>
              <w:t xml:space="preserve">Quizzes </w:t>
            </w:r>
            <w:r>
              <w:rPr>
                <w:b/>
                <w:sz w:val="20"/>
              </w:rPr>
              <w:t xml:space="preserve"> </w:t>
            </w:r>
            <w:r w:rsidRPr="009F029C">
              <w:rPr>
                <w:b/>
                <w:sz w:val="20"/>
              </w:rPr>
              <w:t>|</w:t>
            </w:r>
            <w:r>
              <w:rPr>
                <w:b/>
                <w:sz w:val="20"/>
              </w:rPr>
              <w:t xml:space="preserve"> </w:t>
            </w:r>
            <w:r w:rsidRPr="009F029C">
              <w:rPr>
                <w:b/>
                <w:sz w:val="20"/>
              </w:rPr>
              <w:t xml:space="preserve">Projects </w:t>
            </w:r>
            <w:r w:rsidRPr="009F029C">
              <w:rPr>
                <w:rFonts w:ascii="MS Mincho" w:eastAsia="MS Mincho" w:hAnsi="MS Mincho" w:cs="MS Mincho"/>
                <w:b/>
                <w:sz w:val="20"/>
              </w:rPr>
              <w:t>|</w:t>
            </w:r>
            <w:r w:rsidRPr="009F029C">
              <w:rPr>
                <w:b/>
                <w:sz w:val="20"/>
              </w:rPr>
              <w:t xml:space="preserve"> </w:t>
            </w:r>
          </w:p>
        </w:tc>
      </w:tr>
      <w:tr w:rsidR="009C382F" w:rsidRPr="006E3AF2" w14:paraId="3FBC9AC4" w14:textId="77777777" w:rsidTr="009C382F">
        <w:trPr>
          <w:gridAfter w:val="1"/>
          <w:wAfter w:w="23" w:type="dxa"/>
        </w:trPr>
        <w:tc>
          <w:tcPr>
            <w:tcW w:w="3100" w:type="dxa"/>
            <w:noWrap/>
            <w:vAlign w:val="center"/>
          </w:tcPr>
          <w:p w14:paraId="14FDE1E8" w14:textId="77777777" w:rsidR="009C382F" w:rsidRDefault="009C382F" w:rsidP="001D7DDF">
            <w:pPr>
              <w:spacing w:line="240" w:lineRule="auto"/>
            </w:pPr>
            <w:r>
              <w:t xml:space="preserve">B.14 </w:t>
            </w:r>
            <w:bookmarkStart w:id="19"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19"/>
            <w:r>
              <w:fldChar w:fldCharType="end"/>
            </w:r>
          </w:p>
        </w:tc>
        <w:tc>
          <w:tcPr>
            <w:tcW w:w="3839" w:type="dxa"/>
            <w:gridSpan w:val="2"/>
            <w:noWrap/>
          </w:tcPr>
          <w:p w14:paraId="6AD049A9" w14:textId="77777777" w:rsidR="009C382F" w:rsidRPr="009F029C" w:rsidRDefault="009C382F" w:rsidP="001D7DDF">
            <w:pPr>
              <w:spacing w:line="240" w:lineRule="auto"/>
              <w:rPr>
                <w:b/>
              </w:rPr>
            </w:pPr>
          </w:p>
        </w:tc>
        <w:tc>
          <w:tcPr>
            <w:tcW w:w="3581" w:type="dxa"/>
            <w:noWrap/>
          </w:tcPr>
          <w:p w14:paraId="53A6C411" w14:textId="72BA7851" w:rsidR="009C382F" w:rsidRPr="009F029C" w:rsidRDefault="009C382F" w:rsidP="001D7DDF">
            <w:pPr>
              <w:spacing w:line="240" w:lineRule="auto"/>
              <w:rPr>
                <w:b/>
              </w:rPr>
            </w:pPr>
            <w:r>
              <w:rPr>
                <w:b/>
              </w:rPr>
              <w:t>30</w:t>
            </w:r>
          </w:p>
        </w:tc>
      </w:tr>
      <w:tr w:rsidR="009C382F" w:rsidRPr="006E3AF2" w14:paraId="700E11A7" w14:textId="77777777" w:rsidTr="009C382F">
        <w:trPr>
          <w:gridAfter w:val="1"/>
          <w:wAfter w:w="23" w:type="dxa"/>
        </w:trPr>
        <w:tc>
          <w:tcPr>
            <w:tcW w:w="3100" w:type="dxa"/>
            <w:noWrap/>
            <w:vAlign w:val="center"/>
          </w:tcPr>
          <w:p w14:paraId="418A1BD5" w14:textId="77777777" w:rsidR="009C382F" w:rsidRPr="006E3AF2" w:rsidRDefault="009C382F" w:rsidP="001D7DDF">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39" w:type="dxa"/>
            <w:gridSpan w:val="2"/>
            <w:noWrap/>
          </w:tcPr>
          <w:p w14:paraId="6A5A90EB" w14:textId="77777777" w:rsidR="009C382F" w:rsidRPr="009F029C" w:rsidRDefault="009C382F" w:rsidP="001D7DDF">
            <w:pPr>
              <w:spacing w:line="240" w:lineRule="auto"/>
              <w:rPr>
                <w:b/>
              </w:rPr>
            </w:pPr>
            <w:bookmarkStart w:id="20" w:name="competing"/>
            <w:bookmarkEnd w:id="20"/>
          </w:p>
        </w:tc>
        <w:tc>
          <w:tcPr>
            <w:tcW w:w="3581" w:type="dxa"/>
            <w:noWrap/>
          </w:tcPr>
          <w:p w14:paraId="2F767FB5" w14:textId="77777777" w:rsidR="009C382F" w:rsidRPr="009F029C" w:rsidRDefault="009C382F" w:rsidP="001D7DDF">
            <w:pPr>
              <w:spacing w:line="240" w:lineRule="auto"/>
              <w:rPr>
                <w:b/>
              </w:rPr>
            </w:pPr>
          </w:p>
        </w:tc>
      </w:tr>
      <w:tr w:rsidR="002C5250" w:rsidRPr="00402602" w14:paraId="2CBEE7DA" w14:textId="77777777" w:rsidTr="009C382F">
        <w:trPr>
          <w:gridAfter w:val="1"/>
          <w:wAfter w:w="24" w:type="dxa"/>
          <w:cantSplit/>
          <w:tblHeader/>
        </w:trPr>
        <w:tc>
          <w:tcPr>
            <w:tcW w:w="3410" w:type="dxa"/>
            <w:gridSpan w:val="2"/>
          </w:tcPr>
          <w:p w14:paraId="7D065512" w14:textId="4F686723" w:rsidR="002C5250" w:rsidRPr="00402602" w:rsidRDefault="002C5250" w:rsidP="00FA1E8C">
            <w:pPr>
              <w:spacing w:line="240" w:lineRule="auto"/>
              <w:rPr>
                <w:b/>
              </w:rPr>
            </w:pPr>
            <w:r>
              <w:t>B.1</w:t>
            </w:r>
            <w:r w:rsidR="000E6E2C">
              <w:t>7</w:t>
            </w:r>
            <w:r>
              <w:rPr>
                <w:b/>
              </w:rPr>
              <w:t>.</w:t>
            </w:r>
            <w:r w:rsidRPr="00402602">
              <w:rPr>
                <w:b/>
              </w:rPr>
              <w:t xml:space="preserve"> </w:t>
            </w:r>
            <w:hyperlink w:anchor="outcomes" w:tooltip="Indicate the knowledge and/or skills that students will learn in this course." w:history="1">
              <w:r w:rsidRPr="00D64DF4">
                <w:rPr>
                  <w:rStyle w:val="Hyperlink"/>
                  <w:b/>
                </w:rPr>
                <w:t>Course learning outcomes</w:t>
              </w:r>
            </w:hyperlink>
            <w:r>
              <w:rPr>
                <w:rStyle w:val="Hyperlink"/>
                <w:b/>
              </w:rPr>
              <w:t>: List each one in a separate row</w:t>
            </w:r>
          </w:p>
        </w:tc>
        <w:tc>
          <w:tcPr>
            <w:tcW w:w="7109" w:type="dxa"/>
            <w:gridSpan w:val="2"/>
          </w:tcPr>
          <w:p w14:paraId="0478E391" w14:textId="77777777" w:rsidR="002C5250" w:rsidRPr="00402602" w:rsidRDefault="00000000" w:rsidP="00FA1E8C">
            <w:pPr>
              <w:spacing w:line="240" w:lineRule="auto"/>
              <w:rPr>
                <w:b/>
              </w:rPr>
            </w:pPr>
            <w:hyperlink w:anchor="measured" w:tooltip="Are there any means you will be employing to assess these outcomes in addition to what you have listed in B. 16? If not, put See B. 16." w:history="1">
              <w:r w:rsidR="002C5250">
                <w:rPr>
                  <w:rStyle w:val="Hyperlink"/>
                  <w:b/>
                </w:rPr>
                <w:t>How will each outcome</w:t>
              </w:r>
              <w:r w:rsidR="002C5250" w:rsidRPr="00D64DF4">
                <w:rPr>
                  <w:rStyle w:val="Hyperlink"/>
                  <w:b/>
                </w:rPr>
                <w:t xml:space="preserve"> be measured</w:t>
              </w:r>
            </w:hyperlink>
            <w:r w:rsidR="002C5250">
              <w:rPr>
                <w:b/>
              </w:rPr>
              <w:t>?</w:t>
            </w:r>
          </w:p>
        </w:tc>
      </w:tr>
      <w:tr w:rsidR="002C5250" w14:paraId="455E5DD2" w14:textId="77777777" w:rsidTr="009C382F">
        <w:trPr>
          <w:gridAfter w:val="1"/>
          <w:wAfter w:w="24" w:type="dxa"/>
          <w:cantSplit/>
        </w:trPr>
        <w:tc>
          <w:tcPr>
            <w:tcW w:w="3410" w:type="dxa"/>
            <w:gridSpan w:val="2"/>
          </w:tcPr>
          <w:p w14:paraId="32D1562F" w14:textId="4591E039" w:rsidR="002C5250" w:rsidRDefault="002C5250" w:rsidP="00FA1E8C">
            <w:pPr>
              <w:spacing w:line="240" w:lineRule="auto"/>
            </w:pPr>
            <w:bookmarkStart w:id="21" w:name="outcomes"/>
            <w:bookmarkEnd w:id="21"/>
            <w:r w:rsidRPr="005468A3">
              <w:rPr>
                <w:rFonts w:ascii="Times New Roman" w:hAnsi="Times New Roman"/>
              </w:rPr>
              <w:t>Critical and Creative Thinking</w:t>
            </w:r>
          </w:p>
        </w:tc>
        <w:tc>
          <w:tcPr>
            <w:tcW w:w="7109" w:type="dxa"/>
            <w:gridSpan w:val="2"/>
          </w:tcPr>
          <w:p w14:paraId="02CE74AA" w14:textId="79686734" w:rsidR="002C5250" w:rsidRPr="007B45E6" w:rsidRDefault="007B45E6" w:rsidP="00FA1E8C">
            <w:pPr>
              <w:spacing w:line="240" w:lineRule="auto"/>
              <w:rPr>
                <w:rFonts w:asciiTheme="majorHAnsi" w:hAnsiTheme="majorHAnsi" w:cstheme="majorHAnsi"/>
              </w:rPr>
            </w:pPr>
            <w:bookmarkStart w:id="22" w:name="standards"/>
            <w:bookmarkStart w:id="23" w:name="measured"/>
            <w:bookmarkEnd w:id="22"/>
            <w:bookmarkEnd w:id="23"/>
            <w:r>
              <w:rPr>
                <w:rFonts w:asciiTheme="majorHAnsi" w:hAnsiTheme="majorHAnsi" w:cstheme="majorHAnsi"/>
                <w:color w:val="000000"/>
              </w:rPr>
              <w:t>Critical and creative thinking</w:t>
            </w:r>
            <w:r w:rsidRPr="007B45E6">
              <w:rPr>
                <w:rFonts w:asciiTheme="majorHAnsi" w:hAnsiTheme="majorHAnsi" w:cstheme="majorHAnsi"/>
                <w:color w:val="000000"/>
              </w:rPr>
              <w:t xml:space="preserve"> will be primarily accomplished through discussions, development and drafting of case studies, and comparative analysis. Students will contribute to shared knowledge by comparing two countries (or other sub-units) on a public policy issue area within LGBTIQ+ rights. There will be significant opportunity to learn about non-Western struggles within LGBTIQ+ communities and, by comparing these countries and communities, we will lay the groundwork for our discussions about justice, rights, and happiness.</w:t>
            </w:r>
          </w:p>
        </w:tc>
      </w:tr>
      <w:tr w:rsidR="002C5250" w14:paraId="3282171C" w14:textId="77777777" w:rsidTr="009C382F">
        <w:trPr>
          <w:gridAfter w:val="1"/>
          <w:wAfter w:w="24" w:type="dxa"/>
        </w:trPr>
        <w:tc>
          <w:tcPr>
            <w:tcW w:w="3410" w:type="dxa"/>
            <w:gridSpan w:val="2"/>
          </w:tcPr>
          <w:p w14:paraId="504226BE" w14:textId="20F9ADFD" w:rsidR="002C5250" w:rsidRDefault="002C5250" w:rsidP="00FA1E8C">
            <w:pPr>
              <w:spacing w:line="240" w:lineRule="auto"/>
            </w:pPr>
            <w:r w:rsidRPr="005468A3">
              <w:rPr>
                <w:rFonts w:ascii="Times New Roman" w:hAnsi="Times New Roman"/>
              </w:rPr>
              <w:t>Written Communication</w:t>
            </w:r>
          </w:p>
        </w:tc>
        <w:tc>
          <w:tcPr>
            <w:tcW w:w="7109" w:type="dxa"/>
            <w:gridSpan w:val="2"/>
          </w:tcPr>
          <w:p w14:paraId="5276CC22" w14:textId="7730ADF2" w:rsidR="002C5250" w:rsidRPr="002C5250" w:rsidRDefault="00C71D1F" w:rsidP="00FA1E8C">
            <w:pPr>
              <w:spacing w:line="240" w:lineRule="auto"/>
              <w:rPr>
                <w:rFonts w:ascii="Times New Roman" w:hAnsi="Times New Roman"/>
              </w:rPr>
            </w:pPr>
            <w:r>
              <w:rPr>
                <w:rFonts w:asciiTheme="majorHAnsi" w:hAnsiTheme="majorHAnsi" w:cstheme="majorHAnsi"/>
              </w:rPr>
              <w:t>Case studies are a central part of the course. As such, assignments pertaining to the case studies will be scaffolded</w:t>
            </w:r>
            <w:r w:rsidR="00BB4A4E">
              <w:rPr>
                <w:rFonts w:asciiTheme="majorHAnsi" w:hAnsiTheme="majorHAnsi" w:cstheme="majorHAnsi"/>
              </w:rPr>
              <w:t xml:space="preserve">, </w:t>
            </w:r>
            <w:r>
              <w:rPr>
                <w:rFonts w:asciiTheme="majorHAnsi" w:hAnsiTheme="majorHAnsi" w:cstheme="majorHAnsi"/>
              </w:rPr>
              <w:t>includ</w:t>
            </w:r>
            <w:r w:rsidR="00BB4A4E">
              <w:rPr>
                <w:rFonts w:asciiTheme="majorHAnsi" w:hAnsiTheme="majorHAnsi" w:cstheme="majorHAnsi"/>
              </w:rPr>
              <w:t>ing</w:t>
            </w:r>
            <w:r>
              <w:rPr>
                <w:rFonts w:asciiTheme="majorHAnsi" w:hAnsiTheme="majorHAnsi" w:cstheme="majorHAnsi"/>
              </w:rPr>
              <w:t xml:space="preserve"> practice </w:t>
            </w:r>
            <w:r w:rsidR="00BB4A4E">
              <w:rPr>
                <w:rFonts w:asciiTheme="majorHAnsi" w:hAnsiTheme="majorHAnsi" w:cstheme="majorHAnsi"/>
              </w:rPr>
              <w:t xml:space="preserve">with </w:t>
            </w:r>
            <w:r>
              <w:rPr>
                <w:rFonts w:asciiTheme="majorHAnsi" w:hAnsiTheme="majorHAnsi" w:cstheme="majorHAnsi"/>
              </w:rPr>
              <w:t xml:space="preserve">the comparative method, evaluating sources on LGBTIQ+ issues around the world, and finding links and connections among cases. A comparative summary linking the case studies will be assigned after </w:t>
            </w:r>
            <w:r w:rsidR="00BB4A4E">
              <w:rPr>
                <w:rFonts w:asciiTheme="majorHAnsi" w:hAnsiTheme="majorHAnsi" w:cstheme="majorHAnsi"/>
              </w:rPr>
              <w:t>students</w:t>
            </w:r>
            <w:r>
              <w:rPr>
                <w:rFonts w:asciiTheme="majorHAnsi" w:hAnsiTheme="majorHAnsi" w:cstheme="majorHAnsi"/>
              </w:rPr>
              <w:t xml:space="preserve"> have practiced the comparative method, read comparative cases, and drafted their own case studies. </w:t>
            </w:r>
            <w:r w:rsidR="00BB4A4E">
              <w:rPr>
                <w:rFonts w:asciiTheme="majorHAnsi" w:hAnsiTheme="majorHAnsi" w:cstheme="majorHAnsi"/>
              </w:rPr>
              <w:t>For each stage of this process, there will be</w:t>
            </w:r>
            <w:r w:rsidR="002C5250">
              <w:rPr>
                <w:rFonts w:asciiTheme="majorHAnsi" w:hAnsiTheme="majorHAnsi" w:cstheme="majorHAnsi"/>
              </w:rPr>
              <w:t xml:space="preserve"> rough </w:t>
            </w:r>
            <w:r w:rsidR="002C5250">
              <w:rPr>
                <w:rFonts w:asciiTheme="majorHAnsi" w:hAnsiTheme="majorHAnsi" w:cstheme="majorHAnsi"/>
              </w:rPr>
              <w:lastRenderedPageBreak/>
              <w:t>drafts, peer reviews, and professor feedback,</w:t>
            </w:r>
            <w:r w:rsidR="00BB4A4E">
              <w:rPr>
                <w:rFonts w:asciiTheme="majorHAnsi" w:hAnsiTheme="majorHAnsi" w:cstheme="majorHAnsi"/>
              </w:rPr>
              <w:t xml:space="preserve"> and, over the course of the semester, </w:t>
            </w:r>
            <w:r w:rsidR="002C5250">
              <w:rPr>
                <w:rFonts w:asciiTheme="majorHAnsi" w:hAnsiTheme="majorHAnsi" w:cstheme="majorHAnsi"/>
              </w:rPr>
              <w:t xml:space="preserve">students will improve their ability to write persuasively. </w:t>
            </w:r>
          </w:p>
        </w:tc>
      </w:tr>
      <w:tr w:rsidR="002C5250" w14:paraId="72E7F0C6" w14:textId="77777777" w:rsidTr="009C382F">
        <w:trPr>
          <w:gridAfter w:val="1"/>
          <w:wAfter w:w="24" w:type="dxa"/>
        </w:trPr>
        <w:tc>
          <w:tcPr>
            <w:tcW w:w="3410" w:type="dxa"/>
            <w:gridSpan w:val="2"/>
          </w:tcPr>
          <w:p w14:paraId="376B1F4F" w14:textId="5129CFC2" w:rsidR="002C5250" w:rsidRPr="005468A3" w:rsidRDefault="002C5250" w:rsidP="00FA1E8C">
            <w:pPr>
              <w:spacing w:line="240" w:lineRule="auto"/>
              <w:rPr>
                <w:rFonts w:ascii="Times New Roman" w:hAnsi="Times New Roman"/>
              </w:rPr>
            </w:pPr>
            <w:r w:rsidRPr="005468A3">
              <w:rPr>
                <w:rFonts w:ascii="Times New Roman" w:hAnsi="Times New Roman"/>
              </w:rPr>
              <w:lastRenderedPageBreak/>
              <w:t>Research Fluency</w:t>
            </w:r>
          </w:p>
        </w:tc>
        <w:tc>
          <w:tcPr>
            <w:tcW w:w="7109" w:type="dxa"/>
            <w:gridSpan w:val="2"/>
          </w:tcPr>
          <w:p w14:paraId="53AB6FAC" w14:textId="1B454E0B" w:rsidR="002C5250" w:rsidRPr="002C5250" w:rsidRDefault="002C5250" w:rsidP="002C5250">
            <w:pPr>
              <w:spacing w:line="240" w:lineRule="auto"/>
              <w:rPr>
                <w:rFonts w:ascii="Times New Roman" w:hAnsi="Times New Roman"/>
              </w:rPr>
            </w:pPr>
            <w:r>
              <w:rPr>
                <w:rFonts w:asciiTheme="majorHAnsi" w:hAnsiTheme="majorHAnsi" w:cstheme="majorHAnsi"/>
              </w:rPr>
              <w:t>Via individual research on a sub-topic of interest to them, students’ ability to conduct social scientific research and evaluate empirical sources will be improved by the end of the semester.</w:t>
            </w:r>
            <w:r w:rsidR="00BB4A4E">
              <w:rPr>
                <w:rFonts w:asciiTheme="majorHAnsi" w:hAnsiTheme="majorHAnsi" w:cstheme="majorHAnsi"/>
              </w:rPr>
              <w:t xml:space="preserve"> This is especially important for research on global LGBTIQ+ communities because many of the issue areas facing LGBTIQ+ people are undertheorized and lack the traditional body of peer reviewed sources important in scholarly inquiry. As such, students will be asked to evaluate reports from nongovernmental organizations (NGOs) and local activists working in the regions. They will be presented with a central social scientific dilemma of “generalization,” or determining how applicable or relevant a study or report is to a particular issue, country, or community. </w:t>
            </w:r>
          </w:p>
        </w:tc>
      </w:tr>
      <w:tr w:rsidR="002C5250" w14:paraId="1EB9570A" w14:textId="77777777" w:rsidTr="009C382F">
        <w:trPr>
          <w:gridAfter w:val="1"/>
          <w:wAfter w:w="24" w:type="dxa"/>
        </w:trPr>
        <w:tc>
          <w:tcPr>
            <w:tcW w:w="3410" w:type="dxa"/>
            <w:gridSpan w:val="2"/>
          </w:tcPr>
          <w:p w14:paraId="1ABFADEF" w14:textId="67FC204F" w:rsidR="002C5250" w:rsidRPr="005468A3" w:rsidRDefault="002C5250" w:rsidP="00FA1E8C">
            <w:pPr>
              <w:spacing w:line="240" w:lineRule="auto"/>
              <w:rPr>
                <w:rFonts w:ascii="Times New Roman" w:hAnsi="Times New Roman"/>
              </w:rPr>
            </w:pPr>
            <w:r w:rsidRPr="005468A3">
              <w:rPr>
                <w:rFonts w:ascii="Times New Roman" w:hAnsi="Times New Roman"/>
              </w:rPr>
              <w:t>Oral Communication</w:t>
            </w:r>
          </w:p>
        </w:tc>
        <w:tc>
          <w:tcPr>
            <w:tcW w:w="7109" w:type="dxa"/>
            <w:gridSpan w:val="2"/>
          </w:tcPr>
          <w:p w14:paraId="45C481EE" w14:textId="441D337A" w:rsidR="002C5250" w:rsidRPr="002C5250" w:rsidRDefault="002C5250" w:rsidP="002C5250">
            <w:pPr>
              <w:spacing w:line="240" w:lineRule="auto"/>
              <w:rPr>
                <w:rFonts w:ascii="Times New Roman" w:hAnsi="Times New Roman"/>
              </w:rPr>
            </w:pPr>
            <w:r>
              <w:rPr>
                <w:rFonts w:asciiTheme="majorHAnsi" w:hAnsiTheme="majorHAnsi" w:cstheme="majorHAnsi"/>
              </w:rPr>
              <w:t xml:space="preserve">There will be multiple opportunities for students to improve their oral communication skills including a final presentation at the end of the semester. </w:t>
            </w:r>
            <w:r w:rsidR="00BB4A4E">
              <w:rPr>
                <w:rFonts w:asciiTheme="majorHAnsi" w:hAnsiTheme="majorHAnsi" w:cstheme="majorHAnsi"/>
              </w:rPr>
              <w:t xml:space="preserve">Additionally, students will be asked to present their case studies upon completion around the middle of the semester. </w:t>
            </w:r>
            <w:r>
              <w:rPr>
                <w:rFonts w:asciiTheme="majorHAnsi" w:hAnsiTheme="majorHAnsi" w:cstheme="majorHAnsi"/>
              </w:rPr>
              <w:t>Feedback will be provided by the professor and by peers.</w:t>
            </w:r>
          </w:p>
        </w:tc>
      </w:tr>
      <w:tr w:rsidR="002C5250" w14:paraId="08308F8A" w14:textId="77777777" w:rsidTr="009C382F">
        <w:tc>
          <w:tcPr>
            <w:tcW w:w="3410" w:type="dxa"/>
            <w:gridSpan w:val="2"/>
          </w:tcPr>
          <w:p w14:paraId="5CD72224" w14:textId="61DC87AC" w:rsidR="002C5250" w:rsidRPr="005468A3" w:rsidRDefault="002C5250" w:rsidP="00FA1E8C">
            <w:pPr>
              <w:spacing w:line="240" w:lineRule="auto"/>
              <w:rPr>
                <w:rFonts w:ascii="Times New Roman" w:hAnsi="Times New Roman"/>
              </w:rPr>
            </w:pPr>
            <w:r w:rsidRPr="005468A3">
              <w:rPr>
                <w:rFonts w:ascii="Times New Roman" w:hAnsi="Times New Roman"/>
              </w:rPr>
              <w:t>Collaborative Work</w:t>
            </w:r>
          </w:p>
        </w:tc>
        <w:tc>
          <w:tcPr>
            <w:tcW w:w="7133" w:type="dxa"/>
            <w:gridSpan w:val="3"/>
          </w:tcPr>
          <w:p w14:paraId="3F610604" w14:textId="40798757" w:rsidR="002C5250" w:rsidRPr="002C5250" w:rsidRDefault="002C5250" w:rsidP="002C5250">
            <w:pPr>
              <w:spacing w:line="240" w:lineRule="auto"/>
              <w:rPr>
                <w:rFonts w:ascii="Times New Roman" w:hAnsi="Times New Roman"/>
              </w:rPr>
            </w:pPr>
            <w:r>
              <w:rPr>
                <w:rFonts w:asciiTheme="majorHAnsi" w:hAnsiTheme="majorHAnsi" w:cstheme="majorHAnsi"/>
              </w:rPr>
              <w:t>Much of classwork will be spent in problem-based learning groups where students will work collectively to identify problems, evaluate solutions, and challenge contemporary constructions of sexuality and rights. Additionally, students will work closely with peers on written case studies and presentations, improving their own skillsets by evaluating the strengths and weaknesses of the work of classmates.</w:t>
            </w:r>
          </w:p>
        </w:tc>
      </w:tr>
    </w:tbl>
    <w:p w14:paraId="43BD5015" w14:textId="77777777" w:rsidR="00EB51CC" w:rsidRDefault="00EB51CC" w:rsidP="00EB51C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EB51CC" w14:paraId="74AA12AF" w14:textId="77777777" w:rsidTr="00FA1E8C">
        <w:trPr>
          <w:tblHeader/>
        </w:trPr>
        <w:tc>
          <w:tcPr>
            <w:tcW w:w="11016" w:type="dxa"/>
          </w:tcPr>
          <w:p w14:paraId="50B61756" w14:textId="693F8E1D" w:rsidR="00EB51CC" w:rsidRDefault="00EB51CC" w:rsidP="00FA1E8C">
            <w:pPr>
              <w:keepNext/>
              <w:spacing w:line="240" w:lineRule="auto"/>
            </w:pPr>
            <w:r>
              <w:t>B.1</w:t>
            </w:r>
            <w:r w:rsidR="000E6E2C">
              <w:t>8</w:t>
            </w:r>
            <w:r>
              <w:t xml:space="preserve">. </w:t>
            </w:r>
            <w:hyperlink w:anchor="outline" w:tooltip="Paste here a two-level topical outline of the proposed course. Please omit course policies, and other syllabus materials that are not relevant for the purposes of curriculum review." w:history="1">
              <w:r w:rsidRPr="000556B3">
                <w:rPr>
                  <w:rStyle w:val="Hyperlink"/>
                  <w:b/>
                </w:rPr>
                <w:t>Topical outline</w:t>
              </w:r>
            </w:hyperlink>
            <w:r>
              <w:rPr>
                <w:rStyle w:val="Hyperlink"/>
                <w:b/>
              </w:rPr>
              <w:t>: Do NOT insert whole syllabus, we just need a two-tier outline</w:t>
            </w:r>
          </w:p>
        </w:tc>
      </w:tr>
      <w:tr w:rsidR="00EB51CC" w14:paraId="259F7B97" w14:textId="77777777" w:rsidTr="00FA1E8C">
        <w:tc>
          <w:tcPr>
            <w:tcW w:w="11016" w:type="dxa"/>
          </w:tcPr>
          <w:p w14:paraId="7786043C" w14:textId="77777777" w:rsidR="002C5250" w:rsidRPr="00634FB3" w:rsidRDefault="002C5250" w:rsidP="002C5250">
            <w:pPr>
              <w:rPr>
                <w:rFonts w:asciiTheme="majorHAnsi" w:hAnsiTheme="majorHAnsi" w:cstheme="majorHAnsi"/>
                <w:b/>
                <w:bCs/>
              </w:rPr>
            </w:pPr>
            <w:bookmarkStart w:id="24" w:name="outline"/>
            <w:bookmarkEnd w:id="24"/>
            <w:r>
              <w:rPr>
                <w:rFonts w:asciiTheme="majorHAnsi" w:hAnsiTheme="majorHAnsi" w:cstheme="majorHAnsi"/>
                <w:b/>
                <w:bCs/>
              </w:rPr>
              <w:t>1.</w:t>
            </w:r>
            <w:r>
              <w:rPr>
                <w:rFonts w:asciiTheme="majorHAnsi" w:hAnsiTheme="majorHAnsi" w:cstheme="majorHAnsi"/>
                <w:b/>
                <w:bCs/>
              </w:rPr>
              <w:tab/>
            </w:r>
            <w:r w:rsidRPr="00671CB2">
              <w:rPr>
                <w:rFonts w:asciiTheme="majorHAnsi" w:hAnsiTheme="majorHAnsi" w:cstheme="majorHAnsi"/>
                <w:b/>
                <w:bCs/>
              </w:rPr>
              <w:t>Beginnings</w:t>
            </w:r>
          </w:p>
          <w:p w14:paraId="6B5D65A2" w14:textId="17D14145" w:rsidR="002C5250" w:rsidRDefault="002C5250" w:rsidP="002C5250">
            <w:pPr>
              <w:ind w:firstLine="720"/>
              <w:rPr>
                <w:rFonts w:asciiTheme="majorHAnsi" w:hAnsiTheme="majorHAnsi" w:cstheme="majorHAnsi"/>
              </w:rPr>
            </w:pPr>
            <w:r>
              <w:rPr>
                <w:rFonts w:asciiTheme="majorHAnsi" w:hAnsiTheme="majorHAnsi" w:cstheme="majorHAnsi"/>
              </w:rPr>
              <w:t>a.</w:t>
            </w:r>
            <w:r>
              <w:rPr>
                <w:rFonts w:asciiTheme="majorHAnsi" w:hAnsiTheme="majorHAnsi" w:cstheme="majorHAnsi"/>
              </w:rPr>
              <w:tab/>
            </w:r>
            <w:r w:rsidRPr="00671CB2">
              <w:rPr>
                <w:rFonts w:asciiTheme="majorHAnsi" w:hAnsiTheme="majorHAnsi" w:cstheme="majorHAnsi"/>
              </w:rPr>
              <w:t>Introduction to LGBT</w:t>
            </w:r>
            <w:r>
              <w:rPr>
                <w:rFonts w:asciiTheme="majorHAnsi" w:hAnsiTheme="majorHAnsi" w:cstheme="majorHAnsi"/>
              </w:rPr>
              <w:t>I</w:t>
            </w:r>
            <w:r w:rsidRPr="00671CB2">
              <w:rPr>
                <w:rFonts w:asciiTheme="majorHAnsi" w:hAnsiTheme="majorHAnsi" w:cstheme="majorHAnsi"/>
              </w:rPr>
              <w:t>Q</w:t>
            </w:r>
            <w:r>
              <w:rPr>
                <w:rFonts w:asciiTheme="majorHAnsi" w:hAnsiTheme="majorHAnsi" w:cstheme="majorHAnsi"/>
              </w:rPr>
              <w:t>+</w:t>
            </w:r>
            <w:r w:rsidRPr="00671CB2">
              <w:rPr>
                <w:rFonts w:asciiTheme="majorHAnsi" w:hAnsiTheme="majorHAnsi" w:cstheme="majorHAnsi"/>
              </w:rPr>
              <w:t xml:space="preserve"> rights</w:t>
            </w:r>
          </w:p>
          <w:p w14:paraId="7910F128" w14:textId="77777777" w:rsidR="002C5250" w:rsidRDefault="002C5250" w:rsidP="002C5250">
            <w:pPr>
              <w:ind w:firstLine="720"/>
              <w:rPr>
                <w:rFonts w:asciiTheme="majorHAnsi" w:hAnsiTheme="majorHAnsi" w:cstheme="majorHAnsi"/>
              </w:rPr>
            </w:pPr>
            <w:r>
              <w:rPr>
                <w:rFonts w:asciiTheme="majorHAnsi" w:hAnsiTheme="majorHAnsi" w:cstheme="majorHAnsi"/>
              </w:rPr>
              <w:t>b.</w:t>
            </w:r>
            <w:r>
              <w:rPr>
                <w:rFonts w:asciiTheme="majorHAnsi" w:hAnsiTheme="majorHAnsi" w:cstheme="majorHAnsi"/>
              </w:rPr>
              <w:tab/>
            </w:r>
            <w:r w:rsidRPr="00671CB2">
              <w:rPr>
                <w:rFonts w:asciiTheme="majorHAnsi" w:hAnsiTheme="majorHAnsi" w:cstheme="majorHAnsi"/>
              </w:rPr>
              <w:t>The early (modern) movement 1914-1965</w:t>
            </w:r>
          </w:p>
          <w:p w14:paraId="1A008EBC" w14:textId="77777777" w:rsidR="002C5250" w:rsidRPr="00671CB2" w:rsidRDefault="002C5250" w:rsidP="002C5250">
            <w:pPr>
              <w:ind w:firstLine="720"/>
              <w:rPr>
                <w:rFonts w:asciiTheme="majorHAnsi" w:hAnsiTheme="majorHAnsi" w:cstheme="majorHAnsi"/>
              </w:rPr>
            </w:pPr>
            <w:r>
              <w:rPr>
                <w:rFonts w:asciiTheme="majorHAnsi" w:hAnsiTheme="majorHAnsi" w:cstheme="majorHAnsi"/>
              </w:rPr>
              <w:t>c.</w:t>
            </w:r>
            <w:r>
              <w:rPr>
                <w:rFonts w:asciiTheme="majorHAnsi" w:hAnsiTheme="majorHAnsi" w:cstheme="majorHAnsi"/>
              </w:rPr>
              <w:tab/>
            </w:r>
            <w:r w:rsidRPr="00671CB2">
              <w:rPr>
                <w:rFonts w:asciiTheme="majorHAnsi" w:hAnsiTheme="majorHAnsi" w:cstheme="majorHAnsi"/>
              </w:rPr>
              <w:t>Queering global politics</w:t>
            </w:r>
          </w:p>
          <w:p w14:paraId="227077DF" w14:textId="77777777" w:rsidR="002C5250" w:rsidRPr="00671CB2" w:rsidRDefault="002C5250" w:rsidP="002C5250">
            <w:pPr>
              <w:rPr>
                <w:rFonts w:asciiTheme="majorHAnsi" w:hAnsiTheme="majorHAnsi" w:cstheme="majorHAnsi"/>
                <w:b/>
                <w:bCs/>
              </w:rPr>
            </w:pPr>
            <w:r>
              <w:rPr>
                <w:rFonts w:asciiTheme="majorHAnsi" w:hAnsiTheme="majorHAnsi" w:cstheme="majorHAnsi"/>
                <w:b/>
                <w:bCs/>
              </w:rPr>
              <w:t>2.</w:t>
            </w:r>
            <w:r>
              <w:rPr>
                <w:rFonts w:asciiTheme="majorHAnsi" w:hAnsiTheme="majorHAnsi" w:cstheme="majorHAnsi"/>
                <w:b/>
                <w:bCs/>
              </w:rPr>
              <w:tab/>
            </w:r>
            <w:r w:rsidRPr="00671CB2">
              <w:rPr>
                <w:rFonts w:asciiTheme="majorHAnsi" w:hAnsiTheme="majorHAnsi" w:cstheme="majorHAnsi"/>
                <w:b/>
                <w:bCs/>
              </w:rPr>
              <w:t>Fighting back</w:t>
            </w:r>
          </w:p>
          <w:p w14:paraId="4FB37AFB" w14:textId="77777777" w:rsidR="002C5250" w:rsidRDefault="002C5250" w:rsidP="002C5250">
            <w:pPr>
              <w:ind w:firstLine="720"/>
              <w:rPr>
                <w:rFonts w:asciiTheme="majorHAnsi" w:hAnsiTheme="majorHAnsi" w:cstheme="majorHAnsi"/>
              </w:rPr>
            </w:pPr>
            <w:r>
              <w:rPr>
                <w:rFonts w:asciiTheme="majorHAnsi" w:hAnsiTheme="majorHAnsi" w:cstheme="majorHAnsi"/>
              </w:rPr>
              <w:t>a.</w:t>
            </w:r>
            <w:r>
              <w:rPr>
                <w:rFonts w:asciiTheme="majorHAnsi" w:hAnsiTheme="majorHAnsi" w:cstheme="majorHAnsi"/>
              </w:rPr>
              <w:tab/>
            </w:r>
            <w:r w:rsidRPr="00671CB2">
              <w:rPr>
                <w:rFonts w:asciiTheme="majorHAnsi" w:hAnsiTheme="majorHAnsi" w:cstheme="majorHAnsi"/>
              </w:rPr>
              <w:t>The rise of gay rights 1965-1981</w:t>
            </w:r>
          </w:p>
          <w:p w14:paraId="3381C846" w14:textId="3FC8CDBE" w:rsidR="002C5250" w:rsidRPr="00671CB2" w:rsidRDefault="002C5250" w:rsidP="002C5250">
            <w:pPr>
              <w:ind w:firstLine="720"/>
              <w:rPr>
                <w:rFonts w:asciiTheme="majorHAnsi" w:hAnsiTheme="majorHAnsi" w:cstheme="majorHAnsi"/>
              </w:rPr>
            </w:pPr>
            <w:r>
              <w:rPr>
                <w:rFonts w:asciiTheme="majorHAnsi" w:hAnsiTheme="majorHAnsi" w:cstheme="majorHAnsi"/>
              </w:rPr>
              <w:t>b.</w:t>
            </w:r>
            <w:r>
              <w:rPr>
                <w:rFonts w:asciiTheme="majorHAnsi" w:hAnsiTheme="majorHAnsi" w:cstheme="majorHAnsi"/>
              </w:rPr>
              <w:tab/>
            </w:r>
            <w:r w:rsidRPr="00671CB2">
              <w:rPr>
                <w:rFonts w:asciiTheme="majorHAnsi" w:hAnsiTheme="majorHAnsi" w:cstheme="majorHAnsi"/>
              </w:rPr>
              <w:t xml:space="preserve">The AIDS </w:t>
            </w:r>
            <w:r>
              <w:rPr>
                <w:rFonts w:asciiTheme="majorHAnsi" w:hAnsiTheme="majorHAnsi" w:cstheme="majorHAnsi"/>
              </w:rPr>
              <w:t>c</w:t>
            </w:r>
            <w:r w:rsidRPr="00671CB2">
              <w:rPr>
                <w:rFonts w:asciiTheme="majorHAnsi" w:hAnsiTheme="majorHAnsi" w:cstheme="majorHAnsi"/>
              </w:rPr>
              <w:t xml:space="preserve">risis and </w:t>
            </w:r>
            <w:r>
              <w:rPr>
                <w:rFonts w:asciiTheme="majorHAnsi" w:hAnsiTheme="majorHAnsi" w:cstheme="majorHAnsi"/>
              </w:rPr>
              <w:t>i</w:t>
            </w:r>
            <w:r w:rsidRPr="00671CB2">
              <w:rPr>
                <w:rFonts w:asciiTheme="majorHAnsi" w:hAnsiTheme="majorHAnsi" w:cstheme="majorHAnsi"/>
              </w:rPr>
              <w:t xml:space="preserve">nternational </w:t>
            </w:r>
            <w:r>
              <w:rPr>
                <w:rFonts w:asciiTheme="majorHAnsi" w:hAnsiTheme="majorHAnsi" w:cstheme="majorHAnsi"/>
              </w:rPr>
              <w:t>r</w:t>
            </w:r>
            <w:r w:rsidRPr="00671CB2">
              <w:rPr>
                <w:rFonts w:asciiTheme="majorHAnsi" w:hAnsiTheme="majorHAnsi" w:cstheme="majorHAnsi"/>
              </w:rPr>
              <w:t>esistance 1981-2000</w:t>
            </w:r>
          </w:p>
          <w:p w14:paraId="14ECFE26" w14:textId="77777777" w:rsidR="002C5250" w:rsidRDefault="002C5250" w:rsidP="002C5250">
            <w:pPr>
              <w:rPr>
                <w:rFonts w:asciiTheme="majorHAnsi" w:hAnsiTheme="majorHAnsi" w:cstheme="majorHAnsi"/>
              </w:rPr>
            </w:pPr>
            <w:r>
              <w:rPr>
                <w:rFonts w:asciiTheme="majorHAnsi" w:hAnsiTheme="majorHAnsi" w:cstheme="majorHAnsi"/>
                <w:b/>
                <w:bCs/>
              </w:rPr>
              <w:t>3.</w:t>
            </w:r>
            <w:r>
              <w:rPr>
                <w:rFonts w:asciiTheme="majorHAnsi" w:hAnsiTheme="majorHAnsi" w:cstheme="majorHAnsi"/>
                <w:b/>
                <w:bCs/>
              </w:rPr>
              <w:tab/>
            </w:r>
            <w:r w:rsidRPr="00671CB2">
              <w:rPr>
                <w:rFonts w:asciiTheme="majorHAnsi" w:hAnsiTheme="majorHAnsi" w:cstheme="majorHAnsi"/>
                <w:b/>
                <w:bCs/>
              </w:rPr>
              <w:t>International order</w:t>
            </w:r>
          </w:p>
          <w:p w14:paraId="62DEADAD" w14:textId="77777777" w:rsidR="002C5250" w:rsidRDefault="002C5250" w:rsidP="002C5250">
            <w:pPr>
              <w:ind w:firstLine="720"/>
              <w:rPr>
                <w:rFonts w:asciiTheme="majorHAnsi" w:hAnsiTheme="majorHAnsi" w:cstheme="majorHAnsi"/>
              </w:rPr>
            </w:pPr>
            <w:r>
              <w:rPr>
                <w:rFonts w:asciiTheme="majorHAnsi" w:hAnsiTheme="majorHAnsi" w:cstheme="majorHAnsi"/>
              </w:rPr>
              <w:t>a.</w:t>
            </w:r>
            <w:r>
              <w:rPr>
                <w:rFonts w:asciiTheme="majorHAnsi" w:hAnsiTheme="majorHAnsi" w:cstheme="majorHAnsi"/>
              </w:rPr>
              <w:tab/>
            </w:r>
            <w:r w:rsidRPr="00671CB2">
              <w:rPr>
                <w:rFonts w:asciiTheme="majorHAnsi" w:hAnsiTheme="majorHAnsi" w:cstheme="majorHAnsi"/>
              </w:rPr>
              <w:t>Global equality efforts Since 2000</w:t>
            </w:r>
          </w:p>
          <w:p w14:paraId="13B9B6B1" w14:textId="45006D6D" w:rsidR="002C5250" w:rsidRPr="00671CB2" w:rsidRDefault="002C5250" w:rsidP="002C5250">
            <w:pPr>
              <w:ind w:firstLine="720"/>
              <w:rPr>
                <w:rFonts w:asciiTheme="majorHAnsi" w:hAnsiTheme="majorHAnsi" w:cstheme="majorHAnsi"/>
              </w:rPr>
            </w:pPr>
            <w:r>
              <w:rPr>
                <w:rFonts w:asciiTheme="majorHAnsi" w:hAnsiTheme="majorHAnsi" w:cstheme="majorHAnsi"/>
              </w:rPr>
              <w:t>b.</w:t>
            </w:r>
            <w:r>
              <w:rPr>
                <w:rFonts w:asciiTheme="majorHAnsi" w:hAnsiTheme="majorHAnsi" w:cstheme="majorHAnsi"/>
              </w:rPr>
              <w:tab/>
            </w:r>
            <w:r w:rsidRPr="00671CB2">
              <w:rPr>
                <w:rFonts w:asciiTheme="majorHAnsi" w:hAnsiTheme="majorHAnsi" w:cstheme="majorHAnsi"/>
              </w:rPr>
              <w:t>LGBT</w:t>
            </w:r>
            <w:r>
              <w:rPr>
                <w:rFonts w:asciiTheme="majorHAnsi" w:hAnsiTheme="majorHAnsi" w:cstheme="majorHAnsi"/>
              </w:rPr>
              <w:t>I</w:t>
            </w:r>
            <w:r w:rsidRPr="00671CB2">
              <w:rPr>
                <w:rFonts w:asciiTheme="majorHAnsi" w:hAnsiTheme="majorHAnsi" w:cstheme="majorHAnsi"/>
              </w:rPr>
              <w:t>Q</w:t>
            </w:r>
            <w:r>
              <w:rPr>
                <w:rFonts w:asciiTheme="majorHAnsi" w:hAnsiTheme="majorHAnsi" w:cstheme="majorHAnsi"/>
              </w:rPr>
              <w:t>+</w:t>
            </w:r>
            <w:r w:rsidRPr="00671CB2">
              <w:rPr>
                <w:rFonts w:asciiTheme="majorHAnsi" w:hAnsiTheme="majorHAnsi" w:cstheme="majorHAnsi"/>
              </w:rPr>
              <w:t xml:space="preserve"> in international organizations</w:t>
            </w:r>
          </w:p>
          <w:p w14:paraId="56A26CE8" w14:textId="77777777" w:rsidR="002C5250" w:rsidRDefault="002C5250" w:rsidP="002C5250">
            <w:pPr>
              <w:rPr>
                <w:rFonts w:asciiTheme="majorHAnsi" w:hAnsiTheme="majorHAnsi" w:cstheme="majorHAnsi"/>
                <w:b/>
                <w:bCs/>
              </w:rPr>
            </w:pPr>
            <w:r>
              <w:rPr>
                <w:rFonts w:asciiTheme="majorHAnsi" w:hAnsiTheme="majorHAnsi" w:cstheme="majorHAnsi"/>
                <w:b/>
                <w:bCs/>
              </w:rPr>
              <w:t>4.</w:t>
            </w:r>
            <w:r>
              <w:rPr>
                <w:rFonts w:asciiTheme="majorHAnsi" w:hAnsiTheme="majorHAnsi" w:cstheme="majorHAnsi"/>
                <w:b/>
                <w:bCs/>
              </w:rPr>
              <w:tab/>
            </w:r>
            <w:r w:rsidRPr="00671CB2">
              <w:rPr>
                <w:rFonts w:asciiTheme="majorHAnsi" w:hAnsiTheme="majorHAnsi" w:cstheme="majorHAnsi"/>
                <w:b/>
                <w:bCs/>
              </w:rPr>
              <w:t>Digging in</w:t>
            </w:r>
          </w:p>
          <w:p w14:paraId="3038DA7F" w14:textId="77777777" w:rsidR="002C5250" w:rsidRDefault="002C5250" w:rsidP="002C5250">
            <w:pPr>
              <w:ind w:firstLine="720"/>
              <w:rPr>
                <w:rFonts w:asciiTheme="majorHAnsi" w:hAnsiTheme="majorHAnsi" w:cstheme="majorHAnsi"/>
                <w:b/>
                <w:bCs/>
              </w:rPr>
            </w:pPr>
            <w:r w:rsidRPr="00634FB3">
              <w:rPr>
                <w:rFonts w:asciiTheme="majorHAnsi" w:hAnsiTheme="majorHAnsi" w:cstheme="majorHAnsi"/>
              </w:rPr>
              <w:t>a.</w:t>
            </w:r>
            <w:r w:rsidRPr="00634FB3">
              <w:rPr>
                <w:rFonts w:asciiTheme="majorHAnsi" w:hAnsiTheme="majorHAnsi" w:cstheme="majorHAnsi"/>
              </w:rPr>
              <w:tab/>
            </w:r>
            <w:r w:rsidRPr="00671CB2">
              <w:rPr>
                <w:rFonts w:asciiTheme="majorHAnsi" w:hAnsiTheme="majorHAnsi" w:cstheme="majorHAnsi"/>
              </w:rPr>
              <w:t>Transgender rights and gender diversity</w:t>
            </w:r>
          </w:p>
          <w:p w14:paraId="1023084A" w14:textId="77777777" w:rsidR="002C5250" w:rsidRDefault="002C5250" w:rsidP="002C5250">
            <w:pPr>
              <w:ind w:firstLine="720"/>
              <w:rPr>
                <w:rFonts w:asciiTheme="majorHAnsi" w:hAnsiTheme="majorHAnsi" w:cstheme="majorHAnsi"/>
                <w:b/>
                <w:bCs/>
              </w:rPr>
            </w:pPr>
            <w:r>
              <w:rPr>
                <w:rFonts w:asciiTheme="majorHAnsi" w:hAnsiTheme="majorHAnsi" w:cstheme="majorHAnsi"/>
              </w:rPr>
              <w:t>b.</w:t>
            </w:r>
            <w:r>
              <w:rPr>
                <w:rFonts w:asciiTheme="majorHAnsi" w:hAnsiTheme="majorHAnsi" w:cstheme="majorHAnsi"/>
              </w:rPr>
              <w:tab/>
            </w:r>
            <w:r w:rsidRPr="00671CB2">
              <w:rPr>
                <w:rFonts w:asciiTheme="majorHAnsi" w:hAnsiTheme="majorHAnsi" w:cstheme="majorHAnsi"/>
              </w:rPr>
              <w:t>Bisexuality and gender conformity</w:t>
            </w:r>
          </w:p>
          <w:p w14:paraId="2B01C3AB" w14:textId="5F7070B6" w:rsidR="002C5250" w:rsidRDefault="002C5250" w:rsidP="002C5250">
            <w:pPr>
              <w:ind w:firstLine="720"/>
              <w:rPr>
                <w:rFonts w:asciiTheme="majorHAnsi" w:hAnsiTheme="majorHAnsi" w:cstheme="majorHAnsi"/>
                <w:b/>
                <w:bCs/>
              </w:rPr>
            </w:pPr>
            <w:r w:rsidRPr="00634FB3">
              <w:rPr>
                <w:rFonts w:asciiTheme="majorHAnsi" w:hAnsiTheme="majorHAnsi" w:cstheme="majorHAnsi"/>
              </w:rPr>
              <w:t>c.</w:t>
            </w:r>
            <w:r>
              <w:rPr>
                <w:rFonts w:asciiTheme="majorHAnsi" w:hAnsiTheme="majorHAnsi" w:cstheme="majorHAnsi"/>
                <w:b/>
                <w:bCs/>
              </w:rPr>
              <w:tab/>
            </w:r>
            <w:r w:rsidRPr="00671CB2">
              <w:rPr>
                <w:rFonts w:asciiTheme="majorHAnsi" w:hAnsiTheme="majorHAnsi" w:cstheme="majorHAnsi"/>
              </w:rPr>
              <w:t xml:space="preserve">Intersectionality: </w:t>
            </w:r>
            <w:r>
              <w:rPr>
                <w:rFonts w:asciiTheme="majorHAnsi" w:hAnsiTheme="majorHAnsi" w:cstheme="majorHAnsi"/>
              </w:rPr>
              <w:t>r</w:t>
            </w:r>
            <w:r w:rsidRPr="00671CB2">
              <w:rPr>
                <w:rFonts w:asciiTheme="majorHAnsi" w:hAnsiTheme="majorHAnsi" w:cstheme="majorHAnsi"/>
              </w:rPr>
              <w:t>ace and sexuality</w:t>
            </w:r>
          </w:p>
          <w:p w14:paraId="7DBC4737" w14:textId="77777777" w:rsidR="002C5250" w:rsidRPr="00634FB3" w:rsidRDefault="002C5250" w:rsidP="002C5250">
            <w:pPr>
              <w:ind w:firstLine="720"/>
              <w:rPr>
                <w:rFonts w:asciiTheme="majorHAnsi" w:hAnsiTheme="majorHAnsi" w:cstheme="majorHAnsi"/>
                <w:b/>
                <w:bCs/>
              </w:rPr>
            </w:pPr>
            <w:r w:rsidRPr="00634FB3">
              <w:rPr>
                <w:rFonts w:asciiTheme="majorHAnsi" w:hAnsiTheme="majorHAnsi" w:cstheme="majorHAnsi"/>
              </w:rPr>
              <w:t>d.</w:t>
            </w:r>
            <w:r>
              <w:rPr>
                <w:rFonts w:asciiTheme="majorHAnsi" w:hAnsiTheme="majorHAnsi" w:cstheme="majorHAnsi"/>
                <w:b/>
                <w:bCs/>
              </w:rPr>
              <w:tab/>
            </w:r>
            <w:r w:rsidRPr="00671CB2">
              <w:rPr>
                <w:rFonts w:asciiTheme="majorHAnsi" w:hAnsiTheme="majorHAnsi" w:cstheme="majorHAnsi"/>
              </w:rPr>
              <w:t xml:space="preserve">Queer Culture </w:t>
            </w:r>
          </w:p>
          <w:p w14:paraId="3B050FDA" w14:textId="77777777" w:rsidR="002C5250" w:rsidRDefault="002C5250" w:rsidP="002C5250">
            <w:pPr>
              <w:rPr>
                <w:rFonts w:asciiTheme="majorHAnsi" w:hAnsiTheme="majorHAnsi" w:cstheme="majorHAnsi"/>
                <w:b/>
                <w:bCs/>
              </w:rPr>
            </w:pPr>
            <w:r>
              <w:rPr>
                <w:rFonts w:asciiTheme="majorHAnsi" w:hAnsiTheme="majorHAnsi" w:cstheme="majorHAnsi"/>
                <w:b/>
                <w:bCs/>
              </w:rPr>
              <w:t>5.</w:t>
            </w:r>
            <w:r>
              <w:rPr>
                <w:rFonts w:asciiTheme="majorHAnsi" w:hAnsiTheme="majorHAnsi" w:cstheme="majorHAnsi"/>
                <w:b/>
                <w:bCs/>
              </w:rPr>
              <w:tab/>
            </w:r>
            <w:r w:rsidRPr="00671CB2">
              <w:rPr>
                <w:rFonts w:asciiTheme="majorHAnsi" w:hAnsiTheme="majorHAnsi" w:cstheme="majorHAnsi"/>
                <w:b/>
                <w:bCs/>
              </w:rPr>
              <w:t>Critical queer politics</w:t>
            </w:r>
          </w:p>
          <w:p w14:paraId="4C3DF63C" w14:textId="77777777" w:rsidR="002C5250" w:rsidRDefault="002C5250" w:rsidP="002C5250">
            <w:pPr>
              <w:ind w:firstLine="720"/>
              <w:rPr>
                <w:rFonts w:asciiTheme="majorHAnsi" w:hAnsiTheme="majorHAnsi" w:cstheme="majorHAnsi"/>
                <w:b/>
                <w:bCs/>
              </w:rPr>
            </w:pPr>
            <w:r w:rsidRPr="00634FB3">
              <w:rPr>
                <w:rFonts w:asciiTheme="majorHAnsi" w:hAnsiTheme="majorHAnsi" w:cstheme="majorHAnsi"/>
              </w:rPr>
              <w:t>a.</w:t>
            </w:r>
            <w:r>
              <w:rPr>
                <w:rFonts w:asciiTheme="majorHAnsi" w:hAnsiTheme="majorHAnsi" w:cstheme="majorHAnsi"/>
                <w:b/>
                <w:bCs/>
              </w:rPr>
              <w:tab/>
            </w:r>
            <w:r w:rsidRPr="00671CB2">
              <w:rPr>
                <w:rFonts w:asciiTheme="majorHAnsi" w:hAnsiTheme="majorHAnsi" w:cstheme="majorHAnsi"/>
              </w:rPr>
              <w:t>Anti-capitalist critiques</w:t>
            </w:r>
          </w:p>
          <w:p w14:paraId="001C460D" w14:textId="77777777" w:rsidR="002C5250" w:rsidRPr="00634FB3" w:rsidRDefault="002C5250" w:rsidP="002C5250">
            <w:pPr>
              <w:ind w:firstLine="720"/>
              <w:rPr>
                <w:rFonts w:asciiTheme="majorHAnsi" w:hAnsiTheme="majorHAnsi" w:cstheme="majorHAnsi"/>
              </w:rPr>
            </w:pPr>
            <w:r w:rsidRPr="00634FB3">
              <w:rPr>
                <w:rFonts w:asciiTheme="majorHAnsi" w:hAnsiTheme="majorHAnsi" w:cstheme="majorHAnsi"/>
              </w:rPr>
              <w:t>b.</w:t>
            </w:r>
            <w:r w:rsidRPr="00634FB3">
              <w:rPr>
                <w:rFonts w:asciiTheme="majorHAnsi" w:hAnsiTheme="majorHAnsi" w:cstheme="majorHAnsi"/>
              </w:rPr>
              <w:tab/>
              <w:t xml:space="preserve">The queer state: </w:t>
            </w:r>
            <w:proofErr w:type="spellStart"/>
            <w:r w:rsidRPr="00634FB3">
              <w:rPr>
                <w:rFonts w:asciiTheme="majorHAnsi" w:hAnsiTheme="majorHAnsi" w:cstheme="majorHAnsi"/>
              </w:rPr>
              <w:t>homonationalism</w:t>
            </w:r>
            <w:proofErr w:type="spellEnd"/>
            <w:r w:rsidRPr="00634FB3">
              <w:rPr>
                <w:rFonts w:asciiTheme="majorHAnsi" w:hAnsiTheme="majorHAnsi" w:cstheme="majorHAnsi"/>
              </w:rPr>
              <w:t xml:space="preserve">, colonialism, and </w:t>
            </w:r>
            <w:proofErr w:type="spellStart"/>
            <w:r w:rsidRPr="00634FB3">
              <w:rPr>
                <w:rFonts w:asciiTheme="majorHAnsi" w:hAnsiTheme="majorHAnsi" w:cstheme="majorHAnsi"/>
              </w:rPr>
              <w:t>pinkwashing</w:t>
            </w:r>
            <w:proofErr w:type="spellEnd"/>
          </w:p>
          <w:p w14:paraId="57B80390" w14:textId="77777777" w:rsidR="002C5250" w:rsidRDefault="002C5250" w:rsidP="002C5250">
            <w:pPr>
              <w:rPr>
                <w:rFonts w:asciiTheme="majorHAnsi" w:hAnsiTheme="majorHAnsi" w:cstheme="majorHAnsi"/>
                <w:b/>
                <w:bCs/>
              </w:rPr>
            </w:pPr>
            <w:r>
              <w:rPr>
                <w:rFonts w:asciiTheme="majorHAnsi" w:hAnsiTheme="majorHAnsi" w:cstheme="majorHAnsi"/>
              </w:rPr>
              <w:t>6.</w:t>
            </w:r>
            <w:r>
              <w:rPr>
                <w:rFonts w:asciiTheme="majorHAnsi" w:hAnsiTheme="majorHAnsi" w:cstheme="majorHAnsi"/>
              </w:rPr>
              <w:tab/>
            </w:r>
            <w:r w:rsidRPr="00634FB3">
              <w:rPr>
                <w:rFonts w:asciiTheme="majorHAnsi" w:hAnsiTheme="majorHAnsi" w:cstheme="majorHAnsi"/>
                <w:b/>
                <w:bCs/>
              </w:rPr>
              <w:t>Going forward</w:t>
            </w:r>
          </w:p>
          <w:p w14:paraId="5352AC0E" w14:textId="652F5EED" w:rsidR="00EB51CC" w:rsidRPr="002C5250" w:rsidRDefault="002C5250" w:rsidP="002C5250">
            <w:pPr>
              <w:rPr>
                <w:rFonts w:asciiTheme="majorHAnsi" w:hAnsiTheme="majorHAnsi" w:cstheme="majorHAnsi"/>
              </w:rPr>
            </w:pPr>
            <w:r>
              <w:rPr>
                <w:rFonts w:asciiTheme="majorHAnsi" w:hAnsiTheme="majorHAnsi" w:cstheme="majorHAnsi"/>
                <w:b/>
                <w:bCs/>
              </w:rPr>
              <w:lastRenderedPageBreak/>
              <w:tab/>
              <w:t xml:space="preserve">a. </w:t>
            </w:r>
            <w:r>
              <w:rPr>
                <w:rFonts w:asciiTheme="majorHAnsi" w:hAnsiTheme="majorHAnsi" w:cstheme="majorHAnsi"/>
                <w:b/>
                <w:bCs/>
              </w:rPr>
              <w:tab/>
            </w:r>
            <w:r w:rsidRPr="00634FB3">
              <w:rPr>
                <w:rFonts w:asciiTheme="majorHAnsi" w:hAnsiTheme="majorHAnsi" w:cstheme="majorHAnsi"/>
              </w:rPr>
              <w:t>Liberation and vision</w:t>
            </w:r>
          </w:p>
        </w:tc>
      </w:tr>
    </w:tbl>
    <w:p w14:paraId="18B9A1C4" w14:textId="3DE0692B" w:rsidR="00EB51CC" w:rsidRDefault="00EB51CC" w:rsidP="002C5250">
      <w:pPr>
        <w:pStyle w:val="Heading2"/>
        <w:jc w:val="left"/>
      </w:pPr>
      <w:r>
        <w:lastRenderedPageBreak/>
        <w:t>D. Signatures</w:t>
      </w:r>
    </w:p>
    <w:p w14:paraId="247FAC61" w14:textId="77777777" w:rsidR="00EB51CC" w:rsidRPr="001B2E3A" w:rsidRDefault="00EB51CC" w:rsidP="00EB51CC">
      <w:pPr>
        <w:pStyle w:val="Heading5"/>
      </w:pPr>
      <w:r>
        <w:t xml:space="preserve">D.1. Approvals:   required from programs/departments/deans who originate the proposal.  may include multiple departments, e.g., for joint/interdisciplinary prposals.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883"/>
        <w:gridCol w:w="2735"/>
        <w:gridCol w:w="4877"/>
        <w:gridCol w:w="1285"/>
      </w:tblGrid>
      <w:tr w:rsidR="007468ED" w:rsidRPr="00402602" w14:paraId="7C39DA41" w14:textId="77777777" w:rsidTr="009C382F">
        <w:trPr>
          <w:cantSplit/>
          <w:tblHeader/>
        </w:trPr>
        <w:tc>
          <w:tcPr>
            <w:tcW w:w="3140" w:type="dxa"/>
            <w:vAlign w:val="center"/>
          </w:tcPr>
          <w:p w14:paraId="5104C65A" w14:textId="77777777" w:rsidR="00EB51CC" w:rsidRPr="00A83A6C" w:rsidRDefault="00EB51CC" w:rsidP="00FA1E8C">
            <w:pPr>
              <w:pStyle w:val="Heading5"/>
              <w:jc w:val="center"/>
            </w:pPr>
            <w:r w:rsidRPr="00A83A6C">
              <w:t>Name</w:t>
            </w:r>
          </w:p>
        </w:tc>
        <w:tc>
          <w:tcPr>
            <w:tcW w:w="1661" w:type="dxa"/>
            <w:vAlign w:val="center"/>
          </w:tcPr>
          <w:p w14:paraId="3F3A3E9E" w14:textId="77777777" w:rsidR="00EB51CC" w:rsidRPr="00A83A6C" w:rsidRDefault="00EB51CC" w:rsidP="00FA1E8C">
            <w:pPr>
              <w:pStyle w:val="Heading5"/>
              <w:jc w:val="center"/>
            </w:pPr>
            <w:r w:rsidRPr="00A83A6C">
              <w:t>Position/affiliation</w:t>
            </w:r>
          </w:p>
        </w:tc>
        <w:bookmarkStart w:id="25" w:name="_Signature"/>
        <w:bookmarkEnd w:id="25"/>
        <w:tc>
          <w:tcPr>
            <w:tcW w:w="4816" w:type="dxa"/>
            <w:vAlign w:val="center"/>
          </w:tcPr>
          <w:p w14:paraId="3880F7A9" w14:textId="77777777" w:rsidR="00EB51CC" w:rsidRPr="00A83A6C" w:rsidRDefault="00EB51CC" w:rsidP="00FA1E8C">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6A9D414" w14:textId="77777777" w:rsidR="00EB51CC" w:rsidRPr="00A83A6C" w:rsidRDefault="00EB51CC" w:rsidP="00FA1E8C">
            <w:pPr>
              <w:pStyle w:val="Heading5"/>
              <w:jc w:val="center"/>
            </w:pPr>
            <w:r w:rsidRPr="00A83A6C">
              <w:t>Date</w:t>
            </w:r>
          </w:p>
        </w:tc>
      </w:tr>
      <w:tr w:rsidR="007468ED" w14:paraId="3755127A" w14:textId="77777777" w:rsidTr="009C382F">
        <w:trPr>
          <w:cantSplit/>
          <w:trHeight w:val="489"/>
        </w:trPr>
        <w:tc>
          <w:tcPr>
            <w:tcW w:w="3140" w:type="dxa"/>
            <w:vAlign w:val="center"/>
          </w:tcPr>
          <w:p w14:paraId="6F14E9E2" w14:textId="5210908C" w:rsidR="00EB51CC" w:rsidRDefault="002C5250" w:rsidP="00FA1E8C">
            <w:pPr>
              <w:spacing w:line="240" w:lineRule="auto"/>
            </w:pPr>
            <w:r>
              <w:t>Michelle Brophy-Baermann</w:t>
            </w:r>
          </w:p>
        </w:tc>
        <w:tc>
          <w:tcPr>
            <w:tcW w:w="1661" w:type="dxa"/>
            <w:vAlign w:val="center"/>
          </w:tcPr>
          <w:p w14:paraId="105D6470" w14:textId="6303CB0E" w:rsidR="00EB51CC" w:rsidRDefault="00EB51CC" w:rsidP="00FA1E8C">
            <w:pPr>
              <w:spacing w:line="240" w:lineRule="auto"/>
            </w:pPr>
            <w:r>
              <w:t xml:space="preserve">Chair of </w:t>
            </w:r>
            <w:r w:rsidR="002C5250">
              <w:t>Political Science</w:t>
            </w:r>
          </w:p>
        </w:tc>
        <w:tc>
          <w:tcPr>
            <w:tcW w:w="4816" w:type="dxa"/>
            <w:vAlign w:val="center"/>
          </w:tcPr>
          <w:p w14:paraId="69E2CE5D" w14:textId="3A5038E9" w:rsidR="00EB51CC" w:rsidRDefault="007468ED" w:rsidP="00FA1E8C">
            <w:pPr>
              <w:spacing w:line="240" w:lineRule="auto"/>
            </w:pPr>
            <w:r>
              <w:rPr>
                <w:noProof/>
              </w:rPr>
              <w:drawing>
                <wp:inline distT="0" distB="0" distL="0" distR="0" wp14:anchorId="700EAF68" wp14:editId="277B13B3">
                  <wp:extent cx="2921450" cy="6150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075398" cy="647452"/>
                          </a:xfrm>
                          <a:prstGeom prst="rect">
                            <a:avLst/>
                          </a:prstGeom>
                        </pic:spPr>
                      </pic:pic>
                    </a:graphicData>
                  </a:graphic>
                </wp:inline>
              </w:drawing>
            </w:r>
          </w:p>
        </w:tc>
        <w:tc>
          <w:tcPr>
            <w:tcW w:w="1163" w:type="dxa"/>
            <w:vAlign w:val="center"/>
          </w:tcPr>
          <w:p w14:paraId="3D13B009" w14:textId="0DD23C0D" w:rsidR="00EB51CC" w:rsidRDefault="007468ED" w:rsidP="00FA1E8C">
            <w:pPr>
              <w:spacing w:line="240" w:lineRule="auto"/>
            </w:pPr>
            <w:r>
              <w:t>03/13/23</w:t>
            </w:r>
          </w:p>
        </w:tc>
      </w:tr>
      <w:tr w:rsidR="007468ED" w14:paraId="4D5000B2" w14:textId="77777777" w:rsidTr="009C382F">
        <w:trPr>
          <w:cantSplit/>
          <w:trHeight w:val="489"/>
        </w:trPr>
        <w:tc>
          <w:tcPr>
            <w:tcW w:w="3140" w:type="dxa"/>
            <w:vAlign w:val="center"/>
          </w:tcPr>
          <w:p w14:paraId="55B2978E" w14:textId="0B1B39F9" w:rsidR="00EB51CC" w:rsidRDefault="002C5250" w:rsidP="00FA1E8C">
            <w:pPr>
              <w:spacing w:line="240" w:lineRule="auto"/>
            </w:pPr>
            <w:r>
              <w:t>Earl Simson</w:t>
            </w:r>
          </w:p>
        </w:tc>
        <w:tc>
          <w:tcPr>
            <w:tcW w:w="1661" w:type="dxa"/>
            <w:vAlign w:val="center"/>
          </w:tcPr>
          <w:p w14:paraId="3F6CF622" w14:textId="0DE26E98" w:rsidR="00EB51CC" w:rsidRDefault="00EB51CC" w:rsidP="00FA1E8C">
            <w:pPr>
              <w:spacing w:line="240" w:lineRule="auto"/>
            </w:pPr>
            <w:r>
              <w:t>Dean</w:t>
            </w:r>
            <w:r w:rsidR="00527AD5">
              <w:t xml:space="preserve">, </w:t>
            </w:r>
            <w:r w:rsidR="002C5250">
              <w:t>FAS</w:t>
            </w:r>
          </w:p>
        </w:tc>
        <w:tc>
          <w:tcPr>
            <w:tcW w:w="4816" w:type="dxa"/>
            <w:vAlign w:val="center"/>
          </w:tcPr>
          <w:p w14:paraId="522B3E22" w14:textId="703D99C3" w:rsidR="00EB51CC" w:rsidRPr="000E6E2C" w:rsidRDefault="009C382F" w:rsidP="00FA1E8C">
            <w:pPr>
              <w:spacing w:line="240" w:lineRule="auto"/>
              <w:rPr>
                <w:rFonts w:ascii="Arial" w:hAnsi="Arial" w:cs="Arial"/>
              </w:rPr>
            </w:pPr>
            <w:r w:rsidRPr="000E6E2C">
              <w:rPr>
                <w:rFonts w:ascii="Arial" w:hAnsi="Arial" w:cs="Arial"/>
                <w:color w:val="548DD4" w:themeColor="text2" w:themeTint="99"/>
              </w:rPr>
              <w:t>Earl Simson</w:t>
            </w:r>
          </w:p>
        </w:tc>
        <w:tc>
          <w:tcPr>
            <w:tcW w:w="1163" w:type="dxa"/>
            <w:vAlign w:val="center"/>
          </w:tcPr>
          <w:p w14:paraId="5FFB78A3" w14:textId="784984BE" w:rsidR="00EB51CC" w:rsidRDefault="009C382F" w:rsidP="00FA1E8C">
            <w:pPr>
              <w:spacing w:line="240" w:lineRule="auto"/>
            </w:pPr>
            <w:r w:rsidRPr="000E6E2C">
              <w:rPr>
                <w:color w:val="548DD4" w:themeColor="text2" w:themeTint="99"/>
              </w:rPr>
              <w:t>3/15/23</w:t>
            </w:r>
          </w:p>
        </w:tc>
      </w:tr>
      <w:tr w:rsidR="007468ED" w14:paraId="24716A7B" w14:textId="77777777" w:rsidTr="009C382F">
        <w:trPr>
          <w:cantSplit/>
          <w:trHeight w:val="489"/>
        </w:trPr>
        <w:tc>
          <w:tcPr>
            <w:tcW w:w="3140" w:type="dxa"/>
            <w:vAlign w:val="center"/>
          </w:tcPr>
          <w:p w14:paraId="298DF79C" w14:textId="1AB6AC47" w:rsidR="00EB51CC" w:rsidRDefault="00527AD5" w:rsidP="00EB51CC">
            <w:pPr>
              <w:spacing w:line="240" w:lineRule="auto"/>
            </w:pPr>
            <w:r>
              <w:t>Marianne Raimondo</w:t>
            </w:r>
          </w:p>
        </w:tc>
        <w:tc>
          <w:tcPr>
            <w:tcW w:w="1661" w:type="dxa"/>
            <w:vAlign w:val="center"/>
          </w:tcPr>
          <w:p w14:paraId="4660EDDE" w14:textId="3492ADD1" w:rsidR="00EB51CC" w:rsidRDefault="00527AD5" w:rsidP="00EB51CC">
            <w:pPr>
              <w:spacing w:line="240" w:lineRule="auto"/>
            </w:pPr>
            <w:r>
              <w:t>Dean, School of Business</w:t>
            </w:r>
          </w:p>
        </w:tc>
        <w:tc>
          <w:tcPr>
            <w:tcW w:w="4816" w:type="dxa"/>
            <w:vAlign w:val="center"/>
          </w:tcPr>
          <w:p w14:paraId="0F924175" w14:textId="24522FA2" w:rsidR="00EB51CC" w:rsidRDefault="000E6E2C" w:rsidP="00EB51CC">
            <w:pPr>
              <w:spacing w:line="240" w:lineRule="auto"/>
            </w:pPr>
            <w:r>
              <w:t>*Approved via e-mail</w:t>
            </w:r>
          </w:p>
        </w:tc>
        <w:tc>
          <w:tcPr>
            <w:tcW w:w="1163" w:type="dxa"/>
            <w:vAlign w:val="center"/>
          </w:tcPr>
          <w:p w14:paraId="78E5D6E1" w14:textId="3C2FC543" w:rsidR="00EB51CC" w:rsidRDefault="000E6E2C" w:rsidP="00EB51CC">
            <w:pPr>
              <w:spacing w:line="240" w:lineRule="auto"/>
            </w:pPr>
            <w:r>
              <w:t>4/10/2023</w:t>
            </w:r>
          </w:p>
        </w:tc>
      </w:tr>
      <w:tr w:rsidR="00527AD5" w14:paraId="3AA41598" w14:textId="77777777" w:rsidTr="009C382F">
        <w:trPr>
          <w:cantSplit/>
          <w:trHeight w:val="489"/>
        </w:trPr>
        <w:tc>
          <w:tcPr>
            <w:tcW w:w="3140" w:type="dxa"/>
            <w:vAlign w:val="center"/>
          </w:tcPr>
          <w:p w14:paraId="4079380C" w14:textId="0F398A9B" w:rsidR="00527AD5" w:rsidRDefault="00527AD5" w:rsidP="00EB51CC">
            <w:pPr>
              <w:spacing w:line="240" w:lineRule="auto"/>
            </w:pPr>
            <w:r>
              <w:t xml:space="preserve">Justin </w:t>
            </w:r>
            <w:proofErr w:type="spellStart"/>
            <w:r>
              <w:t>DiLibero</w:t>
            </w:r>
            <w:proofErr w:type="spellEnd"/>
          </w:p>
        </w:tc>
        <w:tc>
          <w:tcPr>
            <w:tcW w:w="1661" w:type="dxa"/>
            <w:vAlign w:val="center"/>
          </w:tcPr>
          <w:p w14:paraId="0567F7C3" w14:textId="53DFF32B" w:rsidR="00527AD5" w:rsidRDefault="00527AD5" w:rsidP="00EB51CC">
            <w:pPr>
              <w:spacing w:line="240" w:lineRule="auto"/>
            </w:pPr>
            <w:r>
              <w:t>Dean, School of Nursing</w:t>
            </w:r>
          </w:p>
        </w:tc>
        <w:tc>
          <w:tcPr>
            <w:tcW w:w="4816" w:type="dxa"/>
            <w:vAlign w:val="center"/>
          </w:tcPr>
          <w:p w14:paraId="00989E54" w14:textId="041B3831" w:rsidR="00527AD5" w:rsidRPr="009C382F" w:rsidRDefault="009C382F" w:rsidP="00EB51CC">
            <w:pPr>
              <w:spacing w:line="240" w:lineRule="auto"/>
              <w:rPr>
                <w:sz w:val="24"/>
                <w:szCs w:val="24"/>
              </w:rPr>
            </w:pPr>
            <w:r>
              <w:fldChar w:fldCharType="begin"/>
            </w:r>
            <w:r>
              <w:instrText xml:space="preserve"> INCLUDEPICTURE "/Users/SAbbotson/Library/Group Containers/UBF8T346G9.ms/WebArchiveCopyPasteTempFiles/com.microsoft.Word/page4image36043184" \* MERGEFORMATINET </w:instrText>
            </w:r>
            <w:r>
              <w:fldChar w:fldCharType="separate"/>
            </w:r>
            <w:r>
              <w:rPr>
                <w:noProof/>
              </w:rPr>
              <w:drawing>
                <wp:inline distT="0" distB="0" distL="0" distR="0" wp14:anchorId="0EF06D72" wp14:editId="03FC2614">
                  <wp:extent cx="2959735" cy="570230"/>
                  <wp:effectExtent l="0" t="0" r="0" b="1270"/>
                  <wp:docPr id="3" name="Picture 3" descr="page4image3604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36043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735" cy="570230"/>
                          </a:xfrm>
                          <a:prstGeom prst="rect">
                            <a:avLst/>
                          </a:prstGeom>
                          <a:noFill/>
                          <a:ln>
                            <a:noFill/>
                          </a:ln>
                        </pic:spPr>
                      </pic:pic>
                    </a:graphicData>
                  </a:graphic>
                </wp:inline>
              </w:drawing>
            </w:r>
            <w:r>
              <w:fldChar w:fldCharType="end"/>
            </w:r>
          </w:p>
        </w:tc>
        <w:tc>
          <w:tcPr>
            <w:tcW w:w="1163" w:type="dxa"/>
            <w:vAlign w:val="center"/>
          </w:tcPr>
          <w:p w14:paraId="79FEAF9D" w14:textId="5275967E" w:rsidR="00527AD5" w:rsidRDefault="009C382F" w:rsidP="00EB51CC">
            <w:pPr>
              <w:spacing w:line="240" w:lineRule="auto"/>
            </w:pPr>
            <w:r>
              <w:t>3/22/2023</w:t>
            </w:r>
          </w:p>
        </w:tc>
      </w:tr>
      <w:tr w:rsidR="00527AD5" w14:paraId="4E31AFC2" w14:textId="77777777" w:rsidTr="009C382F">
        <w:trPr>
          <w:cantSplit/>
          <w:trHeight w:val="489"/>
        </w:trPr>
        <w:tc>
          <w:tcPr>
            <w:tcW w:w="3140" w:type="dxa"/>
            <w:vAlign w:val="center"/>
          </w:tcPr>
          <w:p w14:paraId="27009EE1" w14:textId="30AA76E5" w:rsidR="00527AD5" w:rsidRDefault="00527AD5" w:rsidP="00EB51CC">
            <w:pPr>
              <w:spacing w:line="240" w:lineRule="auto"/>
            </w:pPr>
            <w:r>
              <w:t xml:space="preserve">Jayashree </w:t>
            </w:r>
            <w:proofErr w:type="spellStart"/>
            <w:r>
              <w:t>Nimmagadda</w:t>
            </w:r>
            <w:proofErr w:type="spellEnd"/>
          </w:p>
        </w:tc>
        <w:tc>
          <w:tcPr>
            <w:tcW w:w="1661" w:type="dxa"/>
            <w:vAlign w:val="center"/>
          </w:tcPr>
          <w:p w14:paraId="5DDBD376" w14:textId="2AF2547B" w:rsidR="00527AD5" w:rsidRDefault="00527AD5" w:rsidP="00EB51CC">
            <w:pPr>
              <w:spacing w:line="240" w:lineRule="auto"/>
            </w:pPr>
            <w:r>
              <w:t>Dean, School of Social Work</w:t>
            </w:r>
          </w:p>
        </w:tc>
        <w:tc>
          <w:tcPr>
            <w:tcW w:w="4816" w:type="dxa"/>
            <w:vAlign w:val="center"/>
          </w:tcPr>
          <w:p w14:paraId="554C38C6" w14:textId="7CAA80EF" w:rsidR="00527AD5" w:rsidRDefault="000E6E2C" w:rsidP="00EB51CC">
            <w:pPr>
              <w:spacing w:line="240" w:lineRule="auto"/>
            </w:pPr>
            <w:r>
              <w:t>*Approved via e-mail</w:t>
            </w:r>
          </w:p>
        </w:tc>
        <w:tc>
          <w:tcPr>
            <w:tcW w:w="1163" w:type="dxa"/>
            <w:vAlign w:val="center"/>
          </w:tcPr>
          <w:p w14:paraId="682AD4C6" w14:textId="50892CBD" w:rsidR="00527AD5" w:rsidRDefault="000E6E2C" w:rsidP="00EB51CC">
            <w:pPr>
              <w:spacing w:line="240" w:lineRule="auto"/>
            </w:pPr>
            <w:r>
              <w:t>4/13/2023</w:t>
            </w:r>
          </w:p>
        </w:tc>
      </w:tr>
      <w:tr w:rsidR="00527AD5" w14:paraId="1860C693" w14:textId="77777777" w:rsidTr="009C382F">
        <w:trPr>
          <w:cantSplit/>
          <w:trHeight w:val="489"/>
        </w:trPr>
        <w:tc>
          <w:tcPr>
            <w:tcW w:w="3140" w:type="dxa"/>
            <w:vAlign w:val="center"/>
          </w:tcPr>
          <w:p w14:paraId="22B6B835" w14:textId="69B5E239" w:rsidR="00527AD5" w:rsidRDefault="00527AD5" w:rsidP="00EB51CC">
            <w:pPr>
              <w:spacing w:line="240" w:lineRule="auto"/>
            </w:pPr>
            <w:r>
              <w:t>Jeannine Dingus-Eason</w:t>
            </w:r>
          </w:p>
        </w:tc>
        <w:tc>
          <w:tcPr>
            <w:tcW w:w="1661" w:type="dxa"/>
            <w:vAlign w:val="center"/>
          </w:tcPr>
          <w:p w14:paraId="56C57DED" w14:textId="12697D5F" w:rsidR="00527AD5" w:rsidRDefault="00527AD5" w:rsidP="00EB51CC">
            <w:pPr>
              <w:spacing w:line="240" w:lineRule="auto"/>
            </w:pPr>
            <w:r>
              <w:t>Dean, Feinstein School of Education and Human Development</w:t>
            </w:r>
          </w:p>
        </w:tc>
        <w:tc>
          <w:tcPr>
            <w:tcW w:w="4816" w:type="dxa"/>
            <w:vAlign w:val="center"/>
          </w:tcPr>
          <w:p w14:paraId="717CE189" w14:textId="0FAF7C73" w:rsidR="00527AD5" w:rsidRDefault="000E6E2C" w:rsidP="00EB51CC">
            <w:pPr>
              <w:spacing w:line="240" w:lineRule="auto"/>
            </w:pPr>
            <w:r>
              <w:t>*Approved via e-mail</w:t>
            </w:r>
          </w:p>
        </w:tc>
        <w:tc>
          <w:tcPr>
            <w:tcW w:w="1163" w:type="dxa"/>
            <w:vAlign w:val="center"/>
          </w:tcPr>
          <w:p w14:paraId="5EE528F2" w14:textId="20B009E8" w:rsidR="00527AD5" w:rsidRDefault="000E6E2C" w:rsidP="00EB51CC">
            <w:pPr>
              <w:spacing w:line="240" w:lineRule="auto"/>
            </w:pPr>
            <w:r>
              <w:t>3/20/2023</w:t>
            </w:r>
          </w:p>
        </w:tc>
      </w:tr>
      <w:tr w:rsidR="00527AD5" w14:paraId="284000FD" w14:textId="77777777" w:rsidTr="009C382F">
        <w:trPr>
          <w:cantSplit/>
          <w:trHeight w:val="489"/>
        </w:trPr>
        <w:tc>
          <w:tcPr>
            <w:tcW w:w="3140" w:type="dxa"/>
            <w:vAlign w:val="center"/>
          </w:tcPr>
          <w:p w14:paraId="2134EE42" w14:textId="02C371FD" w:rsidR="00527AD5" w:rsidRDefault="00527AD5" w:rsidP="00527AD5">
            <w:pPr>
              <w:spacing w:line="240" w:lineRule="auto"/>
            </w:pPr>
            <w:r>
              <w:t xml:space="preserve">Joseph </w:t>
            </w:r>
            <w:proofErr w:type="spellStart"/>
            <w:r>
              <w:t>Zornado</w:t>
            </w:r>
            <w:proofErr w:type="spellEnd"/>
          </w:p>
        </w:tc>
        <w:tc>
          <w:tcPr>
            <w:tcW w:w="1661" w:type="dxa"/>
            <w:vAlign w:val="center"/>
          </w:tcPr>
          <w:p w14:paraId="06A52BCD" w14:textId="23B1B009" w:rsidR="00527AD5" w:rsidRDefault="00527AD5" w:rsidP="00527AD5">
            <w:pPr>
              <w:spacing w:line="240" w:lineRule="auto"/>
            </w:pPr>
            <w:r>
              <w:t>Chair, Committee on General Education</w:t>
            </w:r>
          </w:p>
        </w:tc>
        <w:tc>
          <w:tcPr>
            <w:tcW w:w="4816" w:type="dxa"/>
            <w:vAlign w:val="center"/>
          </w:tcPr>
          <w:p w14:paraId="098E1870" w14:textId="59EF38ED" w:rsidR="00527AD5" w:rsidRDefault="009C382F" w:rsidP="00527AD5">
            <w:pPr>
              <w:spacing w:line="240" w:lineRule="auto"/>
            </w:pPr>
            <w:r>
              <w:t>*Approved via e-mail</w:t>
            </w:r>
          </w:p>
        </w:tc>
        <w:tc>
          <w:tcPr>
            <w:tcW w:w="1163" w:type="dxa"/>
            <w:vAlign w:val="center"/>
          </w:tcPr>
          <w:p w14:paraId="2B4C46AC" w14:textId="56882907" w:rsidR="00527AD5" w:rsidRDefault="009C382F" w:rsidP="00527AD5">
            <w:pPr>
              <w:spacing w:line="240" w:lineRule="auto"/>
            </w:pPr>
            <w:r>
              <w:t>4/7/2023</w:t>
            </w:r>
          </w:p>
        </w:tc>
      </w:tr>
    </w:tbl>
    <w:p w14:paraId="38BE3A9E" w14:textId="77777777" w:rsidR="00EB51CC" w:rsidRPr="001A37FB" w:rsidRDefault="00EB51CC" w:rsidP="00EB51CC"/>
    <w:p w14:paraId="3C2CBE6C" w14:textId="2DF74A55" w:rsidR="005468A3" w:rsidRPr="005468A3" w:rsidRDefault="005468A3" w:rsidP="005468A3">
      <w:pPr>
        <w:spacing w:line="240" w:lineRule="auto"/>
        <w:jc w:val="both"/>
        <w:rPr>
          <w:rFonts w:ascii="Times New Roman" w:hAnsi="Times New Roman"/>
        </w:rPr>
      </w:pPr>
    </w:p>
    <w:sectPr w:rsidR="005468A3" w:rsidRPr="005468A3"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EEEE" w14:textId="77777777" w:rsidR="001E29FB" w:rsidRDefault="001E29FB" w:rsidP="00FA78CA">
      <w:pPr>
        <w:spacing w:line="240" w:lineRule="auto"/>
      </w:pPr>
      <w:r>
        <w:separator/>
      </w:r>
    </w:p>
  </w:endnote>
  <w:endnote w:type="continuationSeparator" w:id="0">
    <w:p w14:paraId="64730222" w14:textId="77777777" w:rsidR="001E29FB" w:rsidRDefault="001E29F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57 Condensed">
    <w:altName w:val="Bell MT"/>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23BE" w14:textId="75D89A3F" w:rsidR="008836DF" w:rsidRPr="00310D95" w:rsidRDefault="008A2CE9" w:rsidP="00310D95">
    <w:pPr>
      <w:pStyle w:val="Footer"/>
      <w:pBdr>
        <w:top w:val="single" w:sz="8" w:space="1" w:color="984806"/>
      </w:pBdr>
      <w:jc w:val="right"/>
      <w:rPr>
        <w:sz w:val="20"/>
      </w:rPr>
    </w:pPr>
    <w:r w:rsidRPr="00310D95">
      <w:rPr>
        <w:sz w:val="20"/>
      </w:rPr>
      <w:t>F</w:t>
    </w:r>
    <w:r>
      <w:rPr>
        <w:sz w:val="20"/>
      </w:rPr>
      <w:t>orm revised 8/1/17</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EB51CC">
      <w:rPr>
        <w:b/>
        <w:bCs/>
        <w:noProof/>
        <w:sz w:val="20"/>
      </w:rPr>
      <w:t>7</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EB51CC">
      <w:rPr>
        <w:b/>
        <w:bCs/>
        <w:noProof/>
        <w:sz w:val="20"/>
      </w:rPr>
      <w:t>7</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1CBE" w14:textId="77777777" w:rsidR="001E29FB" w:rsidRDefault="001E29FB" w:rsidP="00FA78CA">
      <w:pPr>
        <w:spacing w:line="240" w:lineRule="auto"/>
      </w:pPr>
      <w:r>
        <w:separator/>
      </w:r>
    </w:p>
  </w:footnote>
  <w:footnote w:type="continuationSeparator" w:id="0">
    <w:p w14:paraId="04C01550" w14:textId="77777777" w:rsidR="001E29FB" w:rsidRDefault="001E29F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CB9F" w14:textId="0DF2085C" w:rsidR="008836DF" w:rsidRPr="004254A0" w:rsidRDefault="008A2CE9"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C382F">
      <w:rPr>
        <w:color w:val="4F6228"/>
      </w:rPr>
      <w:t>22-23-118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009C382F">
      <w:rPr>
        <w:color w:val="4F6228"/>
      </w:rPr>
      <w:t xml:space="preserve">  4/14/2023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6CE36A47" w14:textId="77777777" w:rsidR="008836DF" w:rsidRPr="008745BA" w:rsidRDefault="00000000"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81CDE"/>
    <w:multiLevelType w:val="hybridMultilevel"/>
    <w:tmpl w:val="C8A64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59136945">
    <w:abstractNumId w:val="9"/>
  </w:num>
  <w:num w:numId="2" w16cid:durableId="247227802">
    <w:abstractNumId w:val="2"/>
  </w:num>
  <w:num w:numId="3" w16cid:durableId="1298607818">
    <w:abstractNumId w:val="7"/>
  </w:num>
  <w:num w:numId="4" w16cid:durableId="1939603710">
    <w:abstractNumId w:val="0"/>
  </w:num>
  <w:num w:numId="5" w16cid:durableId="1672491331">
    <w:abstractNumId w:val="5"/>
  </w:num>
  <w:num w:numId="6" w16cid:durableId="1908953465">
    <w:abstractNumId w:val="10"/>
  </w:num>
  <w:num w:numId="7" w16cid:durableId="2104958360">
    <w:abstractNumId w:val="1"/>
  </w:num>
  <w:num w:numId="8" w16cid:durableId="403842795">
    <w:abstractNumId w:val="6"/>
  </w:num>
  <w:num w:numId="9" w16cid:durableId="478156382">
    <w:abstractNumId w:val="8"/>
  </w:num>
  <w:num w:numId="10" w16cid:durableId="1359893665">
    <w:abstractNumId w:val="3"/>
  </w:num>
  <w:num w:numId="11" w16cid:durableId="1559123281">
    <w:abstractNumId w:val="11"/>
  </w:num>
  <w:num w:numId="12" w16cid:durableId="693851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28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301C7"/>
    <w:rsid w:val="0004554C"/>
    <w:rsid w:val="000556B3"/>
    <w:rsid w:val="000810FF"/>
    <w:rsid w:val="000A36CD"/>
    <w:rsid w:val="000D1497"/>
    <w:rsid w:val="000D21F2"/>
    <w:rsid w:val="000E2CBA"/>
    <w:rsid w:val="000E6E2C"/>
    <w:rsid w:val="001010FA"/>
    <w:rsid w:val="00101BA4"/>
    <w:rsid w:val="0010291E"/>
    <w:rsid w:val="0011690A"/>
    <w:rsid w:val="00120C12"/>
    <w:rsid w:val="001278A4"/>
    <w:rsid w:val="0013176C"/>
    <w:rsid w:val="00131B87"/>
    <w:rsid w:val="001429AA"/>
    <w:rsid w:val="00176C55"/>
    <w:rsid w:val="00181A4B"/>
    <w:rsid w:val="00185A8E"/>
    <w:rsid w:val="001A37FB"/>
    <w:rsid w:val="001A51ED"/>
    <w:rsid w:val="001B2E3A"/>
    <w:rsid w:val="001E29FB"/>
    <w:rsid w:val="0020058E"/>
    <w:rsid w:val="00237355"/>
    <w:rsid w:val="0026461B"/>
    <w:rsid w:val="0027634D"/>
    <w:rsid w:val="00284473"/>
    <w:rsid w:val="00290E18"/>
    <w:rsid w:val="00292D43"/>
    <w:rsid w:val="00293639"/>
    <w:rsid w:val="00296BA1"/>
    <w:rsid w:val="0029768B"/>
    <w:rsid w:val="002A144A"/>
    <w:rsid w:val="002A3788"/>
    <w:rsid w:val="002B1FF7"/>
    <w:rsid w:val="002B24F6"/>
    <w:rsid w:val="002B7880"/>
    <w:rsid w:val="002C3D63"/>
    <w:rsid w:val="002C5250"/>
    <w:rsid w:val="002D194C"/>
    <w:rsid w:val="002F36B8"/>
    <w:rsid w:val="00310D95"/>
    <w:rsid w:val="00345149"/>
    <w:rsid w:val="00376A8B"/>
    <w:rsid w:val="003A45F6"/>
    <w:rsid w:val="003B4A52"/>
    <w:rsid w:val="003C1A54"/>
    <w:rsid w:val="003C511E"/>
    <w:rsid w:val="003D7372"/>
    <w:rsid w:val="003F099C"/>
    <w:rsid w:val="003F4E82"/>
    <w:rsid w:val="00402602"/>
    <w:rsid w:val="004155D7"/>
    <w:rsid w:val="004254A0"/>
    <w:rsid w:val="004313E6"/>
    <w:rsid w:val="004403BD"/>
    <w:rsid w:val="00442EEA"/>
    <w:rsid w:val="00473EE4"/>
    <w:rsid w:val="004779B4"/>
    <w:rsid w:val="004E57C5"/>
    <w:rsid w:val="00527AD5"/>
    <w:rsid w:val="005468A3"/>
    <w:rsid w:val="005473BC"/>
    <w:rsid w:val="005873E3"/>
    <w:rsid w:val="005A5044"/>
    <w:rsid w:val="005B1049"/>
    <w:rsid w:val="005B70AA"/>
    <w:rsid w:val="005C23BD"/>
    <w:rsid w:val="005C3F83"/>
    <w:rsid w:val="005D389E"/>
    <w:rsid w:val="005F2A05"/>
    <w:rsid w:val="00670869"/>
    <w:rsid w:val="006761E1"/>
    <w:rsid w:val="006970B0"/>
    <w:rsid w:val="006B140F"/>
    <w:rsid w:val="006E2CC2"/>
    <w:rsid w:val="006E3AF2"/>
    <w:rsid w:val="006E6680"/>
    <w:rsid w:val="006F7F90"/>
    <w:rsid w:val="00704CFF"/>
    <w:rsid w:val="00706745"/>
    <w:rsid w:val="007072F7"/>
    <w:rsid w:val="00736A9B"/>
    <w:rsid w:val="0074235B"/>
    <w:rsid w:val="00743AD2"/>
    <w:rsid w:val="007445F4"/>
    <w:rsid w:val="007468ED"/>
    <w:rsid w:val="007554DE"/>
    <w:rsid w:val="00760EA6"/>
    <w:rsid w:val="00796AF7"/>
    <w:rsid w:val="007970C3"/>
    <w:rsid w:val="007A5702"/>
    <w:rsid w:val="007B10BE"/>
    <w:rsid w:val="007B3D90"/>
    <w:rsid w:val="007B45E6"/>
    <w:rsid w:val="008122C6"/>
    <w:rsid w:val="0085229B"/>
    <w:rsid w:val="008555D8"/>
    <w:rsid w:val="008628B1"/>
    <w:rsid w:val="00865485"/>
    <w:rsid w:val="00865915"/>
    <w:rsid w:val="00872775"/>
    <w:rsid w:val="008745BA"/>
    <w:rsid w:val="00880392"/>
    <w:rsid w:val="008847FE"/>
    <w:rsid w:val="0089234B"/>
    <w:rsid w:val="008927AF"/>
    <w:rsid w:val="0089400B"/>
    <w:rsid w:val="008A2CE9"/>
    <w:rsid w:val="008B1F84"/>
    <w:rsid w:val="008D12B8"/>
    <w:rsid w:val="008E0FCD"/>
    <w:rsid w:val="008E3EFA"/>
    <w:rsid w:val="008F175C"/>
    <w:rsid w:val="00905E67"/>
    <w:rsid w:val="00936421"/>
    <w:rsid w:val="009458D2"/>
    <w:rsid w:val="00946B20"/>
    <w:rsid w:val="0098046D"/>
    <w:rsid w:val="00984B36"/>
    <w:rsid w:val="009A4E6F"/>
    <w:rsid w:val="009A58C1"/>
    <w:rsid w:val="009B4B02"/>
    <w:rsid w:val="009C1440"/>
    <w:rsid w:val="009C382F"/>
    <w:rsid w:val="009F029C"/>
    <w:rsid w:val="009F2392"/>
    <w:rsid w:val="009F2F3E"/>
    <w:rsid w:val="00A00275"/>
    <w:rsid w:val="00A01611"/>
    <w:rsid w:val="00A04A92"/>
    <w:rsid w:val="00A06E22"/>
    <w:rsid w:val="00A11DCD"/>
    <w:rsid w:val="00A32214"/>
    <w:rsid w:val="00A442D7"/>
    <w:rsid w:val="00A54783"/>
    <w:rsid w:val="00A5525B"/>
    <w:rsid w:val="00A56D5F"/>
    <w:rsid w:val="00A6264E"/>
    <w:rsid w:val="00A76B76"/>
    <w:rsid w:val="00A83A6C"/>
    <w:rsid w:val="00A85BAB"/>
    <w:rsid w:val="00A87611"/>
    <w:rsid w:val="00A94B5A"/>
    <w:rsid w:val="00AC3032"/>
    <w:rsid w:val="00AE78C2"/>
    <w:rsid w:val="00AE7A3D"/>
    <w:rsid w:val="00B12BAB"/>
    <w:rsid w:val="00B20954"/>
    <w:rsid w:val="00B24AAC"/>
    <w:rsid w:val="00B26F16"/>
    <w:rsid w:val="00B35315"/>
    <w:rsid w:val="00B4771F"/>
    <w:rsid w:val="00B4784B"/>
    <w:rsid w:val="00B51B79"/>
    <w:rsid w:val="00B605CE"/>
    <w:rsid w:val="00B649C4"/>
    <w:rsid w:val="00B82B64"/>
    <w:rsid w:val="00B85F49"/>
    <w:rsid w:val="00B862BF"/>
    <w:rsid w:val="00B87B39"/>
    <w:rsid w:val="00B90998"/>
    <w:rsid w:val="00BB11B9"/>
    <w:rsid w:val="00BB4A4E"/>
    <w:rsid w:val="00BC42B6"/>
    <w:rsid w:val="00BF1795"/>
    <w:rsid w:val="00C041AC"/>
    <w:rsid w:val="00C0654C"/>
    <w:rsid w:val="00C11283"/>
    <w:rsid w:val="00C25F9D"/>
    <w:rsid w:val="00C31E83"/>
    <w:rsid w:val="00C344AB"/>
    <w:rsid w:val="00C518C1"/>
    <w:rsid w:val="00C53751"/>
    <w:rsid w:val="00C63F4F"/>
    <w:rsid w:val="00C71D1F"/>
    <w:rsid w:val="00C94576"/>
    <w:rsid w:val="00C969FA"/>
    <w:rsid w:val="00C97577"/>
    <w:rsid w:val="00CA2B55"/>
    <w:rsid w:val="00CA71A8"/>
    <w:rsid w:val="00CC3E7A"/>
    <w:rsid w:val="00CD18DD"/>
    <w:rsid w:val="00D56C09"/>
    <w:rsid w:val="00D64DF4"/>
    <w:rsid w:val="00D65F02"/>
    <w:rsid w:val="00D75FF8"/>
    <w:rsid w:val="00DA73A0"/>
    <w:rsid w:val="00DB23D4"/>
    <w:rsid w:val="00DB63D4"/>
    <w:rsid w:val="00DD69AE"/>
    <w:rsid w:val="00DE2B7A"/>
    <w:rsid w:val="00DF4FCD"/>
    <w:rsid w:val="00DF7C07"/>
    <w:rsid w:val="00E34739"/>
    <w:rsid w:val="00E36AF7"/>
    <w:rsid w:val="00E4755D"/>
    <w:rsid w:val="00E641DE"/>
    <w:rsid w:val="00EB33FD"/>
    <w:rsid w:val="00EB51CC"/>
    <w:rsid w:val="00EC63A4"/>
    <w:rsid w:val="00EC7B24"/>
    <w:rsid w:val="00ED1712"/>
    <w:rsid w:val="00F15B95"/>
    <w:rsid w:val="00F3256C"/>
    <w:rsid w:val="00F32980"/>
    <w:rsid w:val="00F64260"/>
    <w:rsid w:val="00F871BA"/>
    <w:rsid w:val="00FA1770"/>
    <w:rsid w:val="00FA6359"/>
    <w:rsid w:val="00FA6998"/>
    <w:rsid w:val="00FA769F"/>
    <w:rsid w:val="00FA78CA"/>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6DBD6"/>
  <w15:docId w15:val="{91452225-D0A6-4AFE-BC32-0E46CF2C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table" w:customStyle="1" w:styleId="TableGrid1">
    <w:name w:val="Table Grid1"/>
    <w:basedOn w:val="TableNormal"/>
    <w:next w:val="TableGrid"/>
    <w:uiPriority w:val="59"/>
    <w:rsid w:val="005468A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urseTitle">
    <w:name w:val="sc-CourseTitle"/>
    <w:basedOn w:val="Heading8"/>
    <w:rsid w:val="002A144A"/>
    <w:pPr>
      <w:keepNext/>
      <w:keepLines/>
      <w:spacing w:before="120" w:after="0" w:line="200" w:lineRule="atLeast"/>
      <w:jc w:val="left"/>
    </w:pPr>
    <w:rPr>
      <w:rFonts w:ascii="Univers LT 57 Condensed" w:hAnsi="Univers LT 57 Condensed"/>
      <w:b/>
      <w:bCs/>
      <w:caps w:val="0"/>
      <w:spacing w:val="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41440">
      <w:bodyDiv w:val="1"/>
      <w:marLeft w:val="0"/>
      <w:marRight w:val="0"/>
      <w:marTop w:val="0"/>
      <w:marBottom w:val="0"/>
      <w:divBdr>
        <w:top w:val="none" w:sz="0" w:space="0" w:color="auto"/>
        <w:left w:val="none" w:sz="0" w:space="0" w:color="auto"/>
        <w:bottom w:val="none" w:sz="0" w:space="0" w:color="auto"/>
        <w:right w:val="none" w:sz="0" w:space="0" w:color="auto"/>
      </w:divBdr>
      <w:divsChild>
        <w:div w:id="488834005">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C2A2-A063-4E1C-9D8E-E998F64D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2015-10-02T15:20:00Z</cp:lastPrinted>
  <dcterms:created xsi:type="dcterms:W3CDTF">2023-03-14T19:44:00Z</dcterms:created>
  <dcterms:modified xsi:type="dcterms:W3CDTF">2023-04-15T15:27:00Z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